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D8B6B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auto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0065D36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auto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AF7918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auto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12E22B2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auto"/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  <w:t>华池县市场监督管理局</w:t>
      </w:r>
    </w:p>
    <w:p w14:paraId="67ACC14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auto"/>
        <w:rPr>
          <w:rFonts w:ascii="宋体" w:hAnsi="宋体" w:cs="宋体"/>
          <w:b/>
          <w:bCs/>
          <w:kern w:val="0"/>
          <w:sz w:val="44"/>
          <w:szCs w:val="44"/>
        </w:rPr>
        <w:sectPr>
          <w:footerReference r:id="rId3" w:type="default"/>
          <w:pgSz w:w="11906" w:h="16838"/>
          <w:pgMar w:top="1134" w:right="1134" w:bottom="1440" w:left="1276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  <w:t>202</w:t>
      </w:r>
      <w:r>
        <w:rPr>
          <w:rFonts w:hint="default" w:ascii="宋体" w:hAnsi="宋体" w:cs="宋体"/>
          <w:b/>
          <w:bCs/>
          <w:kern w:val="0"/>
          <w:sz w:val="44"/>
          <w:szCs w:val="44"/>
          <w:lang w:val="en-US" w:eastAsia="zh-CN"/>
        </w:rPr>
        <w:t>6</w:t>
      </w:r>
      <w:r>
        <w:rPr>
          <w:rFonts w:hint="eastAsia" w:ascii="宋体" w:hAnsi="宋体" w:cs="宋体"/>
          <w:b/>
          <w:bCs/>
          <w:kern w:val="0"/>
          <w:sz w:val="44"/>
          <w:szCs w:val="44"/>
        </w:rPr>
        <w:t xml:space="preserve">年部门预算公开情况说明 </w:t>
      </w:r>
    </w:p>
    <w:p w14:paraId="2329893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auto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目  录</w:t>
      </w:r>
    </w:p>
    <w:p w14:paraId="404A490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auto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81C728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auto"/>
        <w:rPr>
          <w:rFonts w:ascii="黑体" w:eastAsia="黑体"/>
          <w:color w:val="000000"/>
          <w:sz w:val="18"/>
          <w:szCs w:val="18"/>
        </w:rPr>
      </w:pPr>
    </w:p>
    <w:p w14:paraId="5300202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02" w:firstLineChars="200"/>
        <w:jc w:val="left"/>
        <w:textAlignment w:val="auto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第一部分 部门/单位基本概况</w:t>
      </w:r>
    </w:p>
    <w:p w14:paraId="70C024E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00" w:firstLineChars="200"/>
        <w:jc w:val="left"/>
        <w:textAlignment w:val="auto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一、部门/单位职责</w:t>
      </w:r>
    </w:p>
    <w:p w14:paraId="4D83AF2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00" w:firstLineChars="200"/>
        <w:jc w:val="left"/>
        <w:textAlignment w:val="auto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二、机构设置情况</w:t>
      </w:r>
    </w:p>
    <w:p w14:paraId="433351F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02" w:firstLineChars="200"/>
        <w:jc w:val="left"/>
        <w:textAlignment w:val="auto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第二部分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年部门/单位预算情况说明</w:t>
      </w:r>
    </w:p>
    <w:p w14:paraId="44EBD67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00" w:firstLineChars="200"/>
        <w:jc w:val="left"/>
        <w:textAlignment w:val="auto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三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、收支总体情况</w:t>
      </w:r>
    </w:p>
    <w:p w14:paraId="0BB73FF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00" w:firstLineChars="200"/>
        <w:jc w:val="left"/>
        <w:textAlignment w:val="auto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四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、一般公共预算情况</w:t>
      </w:r>
    </w:p>
    <w:p w14:paraId="4A12B8C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00" w:firstLineChars="200"/>
        <w:jc w:val="left"/>
        <w:textAlignment w:val="auto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五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、一般公共预算财政拨款“三公”经费、培训费、会议费等情况</w:t>
      </w:r>
    </w:p>
    <w:p w14:paraId="435BC81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00" w:firstLineChars="200"/>
        <w:jc w:val="left"/>
        <w:textAlignment w:val="auto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六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、一般公共预算财政拨款机关运行经费情况</w:t>
      </w:r>
    </w:p>
    <w:p w14:paraId="2F88CE3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00" w:firstLineChars="200"/>
        <w:jc w:val="left"/>
        <w:textAlignment w:val="auto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七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、政府采购安排情况</w:t>
      </w:r>
    </w:p>
    <w:p w14:paraId="5046C44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00" w:firstLineChars="200"/>
        <w:jc w:val="left"/>
        <w:textAlignment w:val="auto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八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、国有资产占用情况</w:t>
      </w:r>
    </w:p>
    <w:p w14:paraId="6D55E2E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00" w:firstLineChars="200"/>
        <w:jc w:val="left"/>
        <w:textAlignment w:val="auto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九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、其他重要事项情况说明</w:t>
      </w:r>
    </w:p>
    <w:p w14:paraId="171C491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00" w:firstLineChars="200"/>
        <w:jc w:val="left"/>
        <w:textAlignment w:val="auto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、预算绩效管理情况</w:t>
      </w:r>
    </w:p>
    <w:p w14:paraId="7042C3D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00" w:firstLineChars="200"/>
        <w:jc w:val="left"/>
        <w:textAlignment w:val="auto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十一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、名词解释</w:t>
      </w:r>
    </w:p>
    <w:p w14:paraId="734FD34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02" w:firstLineChars="200"/>
        <w:jc w:val="left"/>
        <w:textAlignment w:val="auto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第三部分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年部门（单位）预算公开表</w:t>
      </w:r>
    </w:p>
    <w:p w14:paraId="3FD2078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00" w:firstLineChars="200"/>
        <w:jc w:val="left"/>
        <w:textAlignment w:val="auto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一、部门/单位收支总体情况表</w:t>
      </w:r>
    </w:p>
    <w:p w14:paraId="72142C8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00" w:firstLineChars="200"/>
        <w:jc w:val="left"/>
        <w:textAlignment w:val="auto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二、部门/单位收入总体情况表</w:t>
      </w:r>
    </w:p>
    <w:p w14:paraId="45966E8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00" w:firstLineChars="200"/>
        <w:jc w:val="left"/>
        <w:textAlignment w:val="auto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三、部门/单位支出总体情况表</w:t>
      </w:r>
    </w:p>
    <w:p w14:paraId="675B820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00" w:firstLineChars="200"/>
        <w:jc w:val="left"/>
        <w:textAlignment w:val="auto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四、财政拨款收支总体情况表</w:t>
      </w:r>
    </w:p>
    <w:p w14:paraId="7622165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00" w:firstLineChars="200"/>
        <w:jc w:val="left"/>
        <w:textAlignment w:val="auto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五、财政拨款支出表</w:t>
      </w:r>
    </w:p>
    <w:p w14:paraId="6361183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00" w:firstLineChars="200"/>
        <w:jc w:val="left"/>
        <w:textAlignment w:val="auto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六、一般公共预算支出情况表</w:t>
      </w:r>
    </w:p>
    <w:p w14:paraId="600E529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00" w:firstLineChars="200"/>
        <w:jc w:val="left"/>
        <w:textAlignment w:val="auto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七、一般公共预算基本支出情况表</w:t>
      </w:r>
    </w:p>
    <w:p w14:paraId="5189B48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00" w:firstLineChars="200"/>
        <w:jc w:val="left"/>
        <w:textAlignment w:val="auto"/>
        <w:rPr>
          <w:rFonts w:ascii="仿宋_GB2312" w:hAnsi="仿宋" w:eastAsia="仿宋_GB2312"/>
          <w:color w:val="000000"/>
          <w:spacing w:val="-2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八、</w:t>
      </w:r>
      <w:r>
        <w:rPr>
          <w:rFonts w:hint="eastAsia" w:ascii="仿宋_GB2312" w:hAnsi="仿宋" w:eastAsia="仿宋_GB2312"/>
          <w:color w:val="000000"/>
          <w:spacing w:val="-20"/>
          <w:sz w:val="30"/>
          <w:szCs w:val="30"/>
        </w:rPr>
        <w:t>一般公共预算财政拨款“三公”经费、会议费、培训费支出情况表</w:t>
      </w:r>
    </w:p>
    <w:p w14:paraId="4B121EF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00" w:firstLineChars="200"/>
        <w:jc w:val="left"/>
        <w:textAlignment w:val="auto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九、一般公共预算财政拨款机关运行经费表</w:t>
      </w:r>
    </w:p>
    <w:p w14:paraId="031FDB5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00" w:firstLineChars="200"/>
        <w:jc w:val="left"/>
        <w:textAlignment w:val="auto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十、政府性基金预算支出情况表</w:t>
      </w:r>
    </w:p>
    <w:p w14:paraId="5FFFCFA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00" w:firstLineChars="200"/>
        <w:jc w:val="left"/>
        <w:textAlignment w:val="auto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十一、部门管理转移支付表</w:t>
      </w:r>
    </w:p>
    <w:p w14:paraId="505BB7C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00" w:firstLineChars="200"/>
        <w:jc w:val="left"/>
        <w:textAlignment w:val="auto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十二、国有资本经营预算支出情况表</w:t>
      </w:r>
    </w:p>
    <w:p w14:paraId="4129F3F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00" w:firstLineChars="200"/>
        <w:jc w:val="left"/>
        <w:textAlignment w:val="auto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十三、部门/单位整体支出绩效目标表和项目支出绩效目标表</w:t>
      </w:r>
    </w:p>
    <w:p w14:paraId="7F85859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auto"/>
        <w:rPr>
          <w:rFonts w:ascii="仿宋_GB2312" w:hAnsi="宋体" w:eastAsia="仿宋_GB2312" w:cs="宋体"/>
          <w:b/>
          <w:bCs/>
          <w:kern w:val="0"/>
          <w:sz w:val="44"/>
          <w:szCs w:val="44"/>
        </w:rPr>
      </w:pPr>
    </w:p>
    <w:p w14:paraId="6DBFCF8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562" w:firstLineChars="200"/>
        <w:textAlignment w:val="auto"/>
        <w:rPr>
          <w:rFonts w:ascii="仿宋_GB2312" w:hAnsi="仿宋" w:eastAsia="仿宋_GB2312" w:cs="宋体"/>
          <w:b/>
          <w:kern w:val="0"/>
          <w:sz w:val="28"/>
          <w:szCs w:val="28"/>
        </w:rPr>
        <w:sectPr>
          <w:footerReference r:id="rId4" w:type="default"/>
          <w:pgSz w:w="11906" w:h="16838"/>
          <w:pgMar w:top="1134" w:right="1134" w:bottom="1440" w:left="1276" w:header="851" w:footer="992" w:gutter="0"/>
          <w:pgNumType w:start="1"/>
          <w:cols w:space="720" w:num="1"/>
          <w:docGrid w:type="lines" w:linePitch="312" w:charSpace="0"/>
        </w:sectPr>
      </w:pPr>
    </w:p>
    <w:p w14:paraId="42E458F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3" w:firstLineChars="200"/>
        <w:textAlignment w:val="auto"/>
        <w:rPr>
          <w:rFonts w:ascii="仿宋_GB2312" w:hAnsi="黑体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b/>
          <w:kern w:val="0"/>
          <w:sz w:val="32"/>
          <w:szCs w:val="32"/>
        </w:rPr>
        <w:t>前言</w:t>
      </w:r>
    </w:p>
    <w:p w14:paraId="0AD557B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按照《中华人民共和国预算法》《中华人民共和国预算法实施条例》以及</w:t>
      </w:r>
      <w:r>
        <w:rPr>
          <w:rFonts w:ascii="仿宋_GB2312" w:hAnsi="仿宋" w:eastAsia="仿宋_GB2312" w:cs="宋体"/>
          <w:kern w:val="0"/>
          <w:sz w:val="32"/>
          <w:szCs w:val="32"/>
        </w:rPr>
        <w:t>财政部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《地方预决算公开操作规程》《关于推进部门所属单位预算公开的指导意见》和《中共甘肃省委办公厅 甘肃省人民政府办公厅关于进一步推进预算公开工作的实施方案》要求，现将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年部门预算公开如下：</w:t>
      </w:r>
    </w:p>
    <w:p w14:paraId="1BFDDEE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一、部门/单位职责</w:t>
      </w:r>
    </w:p>
    <w:p w14:paraId="38BE26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/>
          <w:color w:val="000000"/>
          <w:sz w:val="32"/>
          <w:szCs w:val="32"/>
        </w:rPr>
        <w:t>（一）负责市场综合监督管理。</w:t>
      </w:r>
    </w:p>
    <w:p w14:paraId="03B605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仿宋_GB2312" w:hAnsi="仿宋_GB2312" w:eastAsia="仿宋_GB2312"/>
          <w:color w:val="000000"/>
          <w:sz w:val="32"/>
          <w:szCs w:val="32"/>
        </w:rPr>
      </w:pPr>
      <w:r>
        <w:rPr>
          <w:rFonts w:ascii="仿宋_GB2312" w:hAnsi="仿宋_GB2312" w:eastAsia="仿宋_GB2312"/>
          <w:color w:val="000000"/>
          <w:sz w:val="32"/>
          <w:szCs w:val="32"/>
        </w:rPr>
        <w:t>（二）负责市场主体统一登记注册。</w:t>
      </w:r>
    </w:p>
    <w:p w14:paraId="2A6E5F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仿宋_GB2312" w:hAnsi="仿宋_GB2312" w:eastAsia="仿宋_GB2312"/>
          <w:color w:val="000000"/>
          <w:sz w:val="32"/>
          <w:szCs w:val="32"/>
        </w:rPr>
      </w:pPr>
      <w:r>
        <w:rPr>
          <w:rFonts w:ascii="仿宋_GB2312" w:hAnsi="仿宋_GB2312" w:eastAsia="仿宋_GB2312"/>
          <w:color w:val="000000"/>
          <w:sz w:val="32"/>
          <w:szCs w:val="32"/>
        </w:rPr>
        <w:t>（三）负责组织和指导市场监管综合</w:t>
      </w:r>
      <w:r>
        <w:rPr>
          <w:rFonts w:hint="eastAsia" w:ascii="仿宋_GB2312" w:hAnsi="仿宋_GB2312" w:eastAsia="仿宋_GB2312"/>
          <w:color w:val="000000"/>
          <w:sz w:val="32"/>
          <w:szCs w:val="32"/>
        </w:rPr>
        <w:t>行政</w:t>
      </w:r>
      <w:r>
        <w:rPr>
          <w:rFonts w:ascii="仿宋_GB2312" w:hAnsi="仿宋_GB2312" w:eastAsia="仿宋_GB2312"/>
          <w:color w:val="000000"/>
          <w:sz w:val="32"/>
          <w:szCs w:val="32"/>
        </w:rPr>
        <w:t>执法工作。</w:t>
      </w:r>
    </w:p>
    <w:p w14:paraId="5AA09F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仿宋_GB2312" w:hAnsi="仿宋_GB2312" w:eastAsia="仿宋_GB2312"/>
          <w:color w:val="000000"/>
          <w:sz w:val="32"/>
          <w:szCs w:val="32"/>
        </w:rPr>
      </w:pPr>
      <w:r>
        <w:rPr>
          <w:rFonts w:ascii="仿宋_GB2312" w:hAnsi="仿宋_GB2312" w:eastAsia="仿宋_GB2312"/>
          <w:color w:val="000000"/>
          <w:sz w:val="32"/>
          <w:szCs w:val="32"/>
        </w:rPr>
        <w:t>（四）负责公平交易统一执法。</w:t>
      </w:r>
    </w:p>
    <w:p w14:paraId="3325D7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仿宋_GB2312" w:hAnsi="仿宋_GB2312" w:eastAsia="仿宋_GB2312"/>
          <w:color w:val="000000"/>
          <w:sz w:val="32"/>
          <w:szCs w:val="32"/>
        </w:rPr>
      </w:pPr>
      <w:r>
        <w:rPr>
          <w:rFonts w:ascii="仿宋_GB2312" w:hAnsi="仿宋_GB2312" w:eastAsia="仿宋_GB2312"/>
          <w:color w:val="000000"/>
          <w:sz w:val="32"/>
          <w:szCs w:val="32"/>
        </w:rPr>
        <w:t>（五）负责监督管理市场秩序。</w:t>
      </w:r>
    </w:p>
    <w:p w14:paraId="298C29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仿宋_GB2312" w:hAnsi="仿宋_GB2312" w:eastAsia="仿宋_GB2312"/>
          <w:color w:val="000000"/>
          <w:sz w:val="32"/>
          <w:szCs w:val="32"/>
        </w:rPr>
      </w:pPr>
      <w:r>
        <w:rPr>
          <w:rFonts w:ascii="仿宋_GB2312" w:hAnsi="仿宋_GB2312" w:eastAsia="仿宋_GB2312"/>
          <w:color w:val="000000"/>
          <w:sz w:val="32"/>
          <w:szCs w:val="32"/>
        </w:rPr>
        <w:t>（六）负责宏观质量管理。</w:t>
      </w:r>
    </w:p>
    <w:p w14:paraId="304074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仿宋_GB2312" w:hAnsi="仿宋_GB2312" w:eastAsia="仿宋_GB2312"/>
          <w:color w:val="000000"/>
          <w:sz w:val="32"/>
          <w:szCs w:val="32"/>
        </w:rPr>
      </w:pPr>
      <w:r>
        <w:rPr>
          <w:rFonts w:ascii="仿宋_GB2312" w:hAnsi="仿宋_GB2312" w:eastAsia="仿宋_GB2312"/>
          <w:color w:val="000000"/>
          <w:sz w:val="32"/>
          <w:szCs w:val="32"/>
        </w:rPr>
        <w:t>（七）负责产品质量安全监督管理。</w:t>
      </w:r>
    </w:p>
    <w:p w14:paraId="538374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仿宋_GB2312" w:hAnsi="仿宋_GB2312" w:eastAsia="仿宋_GB2312"/>
          <w:color w:val="000000"/>
          <w:sz w:val="32"/>
          <w:szCs w:val="32"/>
        </w:rPr>
      </w:pPr>
      <w:r>
        <w:rPr>
          <w:rFonts w:ascii="仿宋_GB2312" w:hAnsi="仿宋_GB2312" w:eastAsia="仿宋_GB2312"/>
          <w:color w:val="000000"/>
          <w:sz w:val="32"/>
          <w:szCs w:val="32"/>
        </w:rPr>
        <w:t>（八）负责特种设备安全监督管理。</w:t>
      </w:r>
    </w:p>
    <w:p w14:paraId="5A5C61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仿宋_GB2312" w:hAnsi="仿宋_GB2312" w:eastAsia="仿宋_GB2312"/>
          <w:color w:val="000000"/>
          <w:sz w:val="32"/>
          <w:szCs w:val="32"/>
        </w:rPr>
      </w:pPr>
      <w:r>
        <w:rPr>
          <w:rFonts w:ascii="仿宋_GB2312" w:hAnsi="仿宋_GB2312" w:eastAsia="仿宋_GB2312"/>
          <w:color w:val="000000"/>
          <w:sz w:val="32"/>
          <w:szCs w:val="32"/>
        </w:rPr>
        <w:t>（九）负责食品安全监督管理综合协调。</w:t>
      </w:r>
    </w:p>
    <w:p w14:paraId="0FC3CE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仿宋_GB2312" w:hAnsi="仿宋_GB2312" w:eastAsia="仿宋_GB2312"/>
          <w:color w:val="000000"/>
          <w:sz w:val="32"/>
          <w:szCs w:val="32"/>
        </w:rPr>
      </w:pPr>
      <w:r>
        <w:rPr>
          <w:rFonts w:ascii="仿宋_GB2312" w:hAnsi="仿宋_GB2312" w:eastAsia="仿宋_GB2312"/>
          <w:color w:val="000000"/>
          <w:sz w:val="32"/>
          <w:szCs w:val="32"/>
        </w:rPr>
        <w:t>（十）负责食品安全监督管理。</w:t>
      </w:r>
    </w:p>
    <w:p w14:paraId="006E9C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仿宋_GB2312" w:hAnsi="仿宋_GB2312" w:eastAsia="仿宋_GB2312"/>
          <w:color w:val="000000"/>
          <w:sz w:val="32"/>
          <w:szCs w:val="32"/>
        </w:rPr>
      </w:pPr>
      <w:r>
        <w:rPr>
          <w:rFonts w:ascii="仿宋_GB2312" w:hAnsi="仿宋_GB2312" w:eastAsia="仿宋_GB2312"/>
          <w:color w:val="000000"/>
          <w:sz w:val="32"/>
          <w:szCs w:val="32"/>
        </w:rPr>
        <w:t>（十一）负责药品（含中药、民族药，下同）、医疗器械和化妆品安全监督管理。</w:t>
      </w:r>
    </w:p>
    <w:p w14:paraId="0FA4C6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仿宋_GB2312" w:hAnsi="仿宋_GB2312" w:eastAsia="仿宋_GB2312"/>
          <w:color w:val="000000"/>
          <w:sz w:val="32"/>
          <w:szCs w:val="32"/>
        </w:rPr>
      </w:pPr>
      <w:r>
        <w:rPr>
          <w:rFonts w:ascii="仿宋_GB2312" w:hAnsi="仿宋_GB2312" w:eastAsia="仿宋_GB2312"/>
          <w:color w:val="000000"/>
          <w:sz w:val="32"/>
          <w:szCs w:val="32"/>
        </w:rPr>
        <w:t>（十二）负责药品、医疗器械和化妆品上市后风险管理。</w:t>
      </w:r>
    </w:p>
    <w:p w14:paraId="2D244C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/>
          <w:color w:val="000000"/>
          <w:sz w:val="32"/>
          <w:szCs w:val="32"/>
        </w:rPr>
      </w:pPr>
      <w:r>
        <w:rPr>
          <w:rFonts w:ascii="仿宋_GB2312" w:hAnsi="仿宋_GB2312" w:eastAsia="仿宋_GB2312"/>
          <w:color w:val="000000"/>
          <w:sz w:val="32"/>
          <w:szCs w:val="32"/>
        </w:rPr>
        <w:t>（十</w:t>
      </w:r>
      <w:r>
        <w:rPr>
          <w:rFonts w:hint="eastAsia" w:ascii="仿宋_GB2312" w:hAnsi="仿宋_GB2312" w:eastAsia="仿宋_GB2312"/>
          <w:color w:val="000000"/>
          <w:sz w:val="32"/>
          <w:szCs w:val="32"/>
        </w:rPr>
        <w:t>三</w:t>
      </w:r>
      <w:r>
        <w:rPr>
          <w:rFonts w:ascii="仿宋_GB2312" w:hAnsi="仿宋_GB2312" w:eastAsia="仿宋_GB2312"/>
          <w:color w:val="000000"/>
          <w:sz w:val="32"/>
          <w:szCs w:val="32"/>
        </w:rPr>
        <w:t>）</w:t>
      </w:r>
      <w:r>
        <w:rPr>
          <w:rFonts w:hint="eastAsia" w:ascii="仿宋_GB2312" w:hAnsi="仿宋_GB2312" w:eastAsia="仿宋_GB2312"/>
          <w:color w:val="000000"/>
          <w:sz w:val="32"/>
          <w:szCs w:val="32"/>
        </w:rPr>
        <w:t>负责贯彻落实药品、医疗器械和化妆品“放管服”改革政策，完善审评审批服务便利化措施，鼓励药品、医疗器械创新，促进中医药产业高质量发展。</w:t>
      </w:r>
    </w:p>
    <w:p w14:paraId="1D012A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仿宋_GB2312" w:hAnsi="仿宋_GB2312" w:eastAsia="仿宋_GB2312"/>
          <w:color w:val="000000"/>
          <w:sz w:val="32"/>
          <w:szCs w:val="32"/>
        </w:rPr>
      </w:pPr>
      <w:r>
        <w:rPr>
          <w:rFonts w:ascii="仿宋_GB2312" w:hAnsi="仿宋_GB2312" w:eastAsia="仿宋_GB2312"/>
          <w:color w:val="000000"/>
          <w:sz w:val="32"/>
          <w:szCs w:val="32"/>
        </w:rPr>
        <w:t>（十</w:t>
      </w:r>
      <w:r>
        <w:rPr>
          <w:rFonts w:hint="eastAsia" w:ascii="仿宋_GB2312" w:hAnsi="仿宋_GB2312" w:eastAsia="仿宋_GB2312"/>
          <w:color w:val="000000"/>
          <w:sz w:val="32"/>
          <w:szCs w:val="32"/>
        </w:rPr>
        <w:t>四</w:t>
      </w:r>
      <w:r>
        <w:rPr>
          <w:rFonts w:ascii="仿宋_GB2312" w:hAnsi="仿宋_GB2312" w:eastAsia="仿宋_GB2312"/>
          <w:color w:val="000000"/>
          <w:sz w:val="32"/>
          <w:szCs w:val="32"/>
        </w:rPr>
        <w:t>）负责统一管理计量工作。</w:t>
      </w:r>
    </w:p>
    <w:p w14:paraId="2AA8FD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仿宋_GB2312" w:hAnsi="仿宋_GB2312" w:eastAsia="仿宋_GB2312"/>
          <w:color w:val="000000"/>
          <w:sz w:val="32"/>
          <w:szCs w:val="32"/>
        </w:rPr>
      </w:pPr>
      <w:r>
        <w:rPr>
          <w:rFonts w:ascii="仿宋_GB2312" w:hAnsi="仿宋_GB2312" w:eastAsia="仿宋_GB2312"/>
          <w:color w:val="000000"/>
          <w:sz w:val="32"/>
          <w:szCs w:val="32"/>
        </w:rPr>
        <w:t>（十</w:t>
      </w:r>
      <w:r>
        <w:rPr>
          <w:rFonts w:hint="eastAsia" w:ascii="仿宋_GB2312" w:hAnsi="仿宋_GB2312" w:eastAsia="仿宋_GB2312"/>
          <w:color w:val="000000"/>
          <w:sz w:val="32"/>
          <w:szCs w:val="32"/>
        </w:rPr>
        <w:t>五</w:t>
      </w:r>
      <w:r>
        <w:rPr>
          <w:rFonts w:ascii="仿宋_GB2312" w:hAnsi="仿宋_GB2312" w:eastAsia="仿宋_GB2312"/>
          <w:color w:val="000000"/>
          <w:sz w:val="32"/>
          <w:szCs w:val="32"/>
        </w:rPr>
        <w:t>）负责统一管理标准化工作。</w:t>
      </w:r>
    </w:p>
    <w:p w14:paraId="77C70F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仿宋_GB2312" w:hAnsi="仿宋_GB2312" w:eastAsia="仿宋_GB2312"/>
          <w:color w:val="000000"/>
          <w:sz w:val="32"/>
          <w:szCs w:val="32"/>
        </w:rPr>
      </w:pPr>
      <w:r>
        <w:rPr>
          <w:rFonts w:ascii="仿宋_GB2312" w:hAnsi="仿宋_GB2312" w:eastAsia="仿宋_GB2312"/>
          <w:color w:val="000000"/>
          <w:sz w:val="32"/>
          <w:szCs w:val="32"/>
        </w:rPr>
        <w:t>（十</w:t>
      </w:r>
      <w:r>
        <w:rPr>
          <w:rFonts w:hint="eastAsia" w:ascii="仿宋_GB2312" w:hAnsi="仿宋_GB2312" w:eastAsia="仿宋_GB2312"/>
          <w:color w:val="000000"/>
          <w:sz w:val="32"/>
          <w:szCs w:val="32"/>
        </w:rPr>
        <w:t>六</w:t>
      </w:r>
      <w:r>
        <w:rPr>
          <w:rFonts w:ascii="仿宋_GB2312" w:hAnsi="仿宋_GB2312" w:eastAsia="仿宋_GB2312"/>
          <w:color w:val="000000"/>
          <w:sz w:val="32"/>
          <w:szCs w:val="32"/>
        </w:rPr>
        <w:t>）负责统一管理检验检测工作。</w:t>
      </w:r>
    </w:p>
    <w:p w14:paraId="392123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仿宋_GB2312" w:hAnsi="仿宋_GB2312" w:eastAsia="仿宋_GB2312"/>
          <w:color w:val="000000"/>
          <w:sz w:val="32"/>
          <w:szCs w:val="32"/>
        </w:rPr>
      </w:pPr>
      <w:r>
        <w:rPr>
          <w:rFonts w:ascii="仿宋_GB2312" w:hAnsi="仿宋_GB2312" w:eastAsia="仿宋_GB2312"/>
          <w:color w:val="000000"/>
          <w:sz w:val="32"/>
          <w:szCs w:val="32"/>
        </w:rPr>
        <w:t>（十</w:t>
      </w:r>
      <w:r>
        <w:rPr>
          <w:rFonts w:hint="eastAsia" w:ascii="仿宋_GB2312" w:hAnsi="仿宋_GB2312" w:eastAsia="仿宋_GB2312"/>
          <w:color w:val="000000"/>
          <w:sz w:val="32"/>
          <w:szCs w:val="32"/>
        </w:rPr>
        <w:t>七</w:t>
      </w:r>
      <w:r>
        <w:rPr>
          <w:rFonts w:ascii="仿宋_GB2312" w:hAnsi="仿宋_GB2312" w:eastAsia="仿宋_GB2312"/>
          <w:color w:val="000000"/>
          <w:sz w:val="32"/>
          <w:szCs w:val="32"/>
        </w:rPr>
        <w:t>）负责统一管理、监督和综合协调认证认可工作。</w:t>
      </w:r>
    </w:p>
    <w:p w14:paraId="6499CA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仿宋_GB2312" w:hAnsi="仿宋_GB2312" w:eastAsia="仿宋_GB2312"/>
          <w:color w:val="000000"/>
          <w:sz w:val="32"/>
          <w:szCs w:val="32"/>
        </w:rPr>
      </w:pPr>
      <w:r>
        <w:rPr>
          <w:rFonts w:ascii="仿宋_GB2312" w:hAnsi="仿宋_GB2312" w:eastAsia="仿宋_GB2312"/>
          <w:color w:val="000000"/>
          <w:sz w:val="32"/>
          <w:szCs w:val="32"/>
        </w:rPr>
        <w:t>（十</w:t>
      </w:r>
      <w:r>
        <w:rPr>
          <w:rFonts w:hint="eastAsia" w:ascii="仿宋_GB2312" w:hAnsi="仿宋_GB2312" w:eastAsia="仿宋_GB2312"/>
          <w:color w:val="000000"/>
          <w:sz w:val="32"/>
          <w:szCs w:val="32"/>
        </w:rPr>
        <w:t>八</w:t>
      </w:r>
      <w:r>
        <w:rPr>
          <w:rFonts w:ascii="仿宋_GB2312" w:hAnsi="仿宋_GB2312" w:eastAsia="仿宋_GB2312"/>
          <w:color w:val="000000"/>
          <w:sz w:val="32"/>
          <w:szCs w:val="32"/>
        </w:rPr>
        <w:t>）负责市场监督管理科技和信息化建设、新闻宣传。</w:t>
      </w:r>
    </w:p>
    <w:p w14:paraId="7527BC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仿宋_GB2312" w:hAnsi="仿宋_GB2312" w:eastAsia="仿宋_GB2312"/>
          <w:color w:val="000000"/>
          <w:sz w:val="32"/>
          <w:szCs w:val="32"/>
        </w:rPr>
      </w:pPr>
      <w:r>
        <w:rPr>
          <w:rFonts w:ascii="仿宋_GB2312" w:hAnsi="仿宋_GB2312" w:eastAsia="仿宋_GB2312"/>
          <w:color w:val="000000"/>
          <w:sz w:val="32"/>
          <w:szCs w:val="32"/>
        </w:rPr>
        <w:t>（十</w:t>
      </w:r>
      <w:r>
        <w:rPr>
          <w:rFonts w:hint="eastAsia" w:ascii="仿宋_GB2312" w:hAnsi="仿宋_GB2312" w:eastAsia="仿宋_GB2312"/>
          <w:color w:val="000000"/>
          <w:sz w:val="32"/>
          <w:szCs w:val="32"/>
        </w:rPr>
        <w:t>九</w:t>
      </w:r>
      <w:r>
        <w:rPr>
          <w:rFonts w:ascii="仿宋_GB2312" w:hAnsi="仿宋_GB2312" w:eastAsia="仿宋_GB2312"/>
          <w:color w:val="000000"/>
          <w:sz w:val="32"/>
          <w:szCs w:val="32"/>
        </w:rPr>
        <w:t>）负责统一管理知识产权工作。</w:t>
      </w:r>
    </w:p>
    <w:p w14:paraId="79E10F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仿宋_GB2312" w:hAnsi="仿宋_GB2312" w:eastAsia="仿宋_GB2312"/>
          <w:color w:val="000000"/>
          <w:sz w:val="32"/>
          <w:szCs w:val="32"/>
        </w:rPr>
      </w:pPr>
      <w:r>
        <w:rPr>
          <w:rFonts w:ascii="仿宋_GB2312" w:hAnsi="仿宋_GB2312" w:eastAsia="仿宋_GB2312"/>
          <w:color w:val="000000"/>
          <w:sz w:val="32"/>
          <w:szCs w:val="32"/>
        </w:rPr>
        <w:t>（二十）负责组织指导实施价格</w:t>
      </w:r>
      <w:r>
        <w:rPr>
          <w:rFonts w:hint="eastAsia" w:ascii="仿宋_GB2312" w:hAnsi="仿宋_GB2312" w:eastAsia="仿宋_GB2312"/>
          <w:color w:val="000000"/>
          <w:sz w:val="32"/>
          <w:szCs w:val="32"/>
        </w:rPr>
        <w:t>、</w:t>
      </w:r>
      <w:r>
        <w:rPr>
          <w:rFonts w:ascii="仿宋_GB2312" w:hAnsi="仿宋_GB2312" w:eastAsia="仿宋_GB2312"/>
          <w:color w:val="000000"/>
          <w:sz w:val="32"/>
          <w:szCs w:val="32"/>
        </w:rPr>
        <w:t>收费监督检查。</w:t>
      </w:r>
    </w:p>
    <w:p w14:paraId="2EBDE5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color w:val="000000"/>
          <w:sz w:val="32"/>
          <w:szCs w:val="32"/>
          <w:lang w:eastAsia="zh-CN"/>
        </w:rPr>
        <w:t>（二十一）</w:t>
      </w:r>
      <w:r>
        <w:rPr>
          <w:rFonts w:ascii="仿宋_GB2312" w:hAnsi="仿宋_GB2312" w:eastAsia="仿宋_GB2312"/>
          <w:color w:val="000000"/>
          <w:sz w:val="32"/>
          <w:szCs w:val="32"/>
        </w:rPr>
        <w:t>负责全</w:t>
      </w:r>
      <w:r>
        <w:rPr>
          <w:rFonts w:hint="eastAsia" w:ascii="仿宋_GB2312" w:hAnsi="仿宋_GB2312" w:eastAsia="仿宋_GB2312"/>
          <w:color w:val="000000"/>
          <w:sz w:val="32"/>
          <w:szCs w:val="32"/>
          <w:lang w:eastAsia="zh-CN"/>
        </w:rPr>
        <w:t>县</w:t>
      </w:r>
      <w:r>
        <w:rPr>
          <w:rFonts w:ascii="仿宋_GB2312" w:hAnsi="仿宋_GB2312" w:eastAsia="仿宋_GB2312"/>
          <w:color w:val="000000"/>
          <w:sz w:val="32"/>
          <w:szCs w:val="32"/>
        </w:rPr>
        <w:t>非公有制经济组织党建工作</w:t>
      </w:r>
      <w:r>
        <w:rPr>
          <w:rFonts w:hint="eastAsia" w:ascii="仿宋_GB2312" w:hAnsi="仿宋_GB2312" w:eastAsia="仿宋_GB2312"/>
          <w:color w:val="000000"/>
          <w:sz w:val="32"/>
          <w:szCs w:val="32"/>
          <w:lang w:eastAsia="zh-CN"/>
        </w:rPr>
        <w:t>。</w:t>
      </w:r>
    </w:p>
    <w:p w14:paraId="06E779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仿宋_GB2312" w:hAnsi="仿宋_GB2312" w:eastAsia="仿宋_GB2312"/>
          <w:color w:val="000000"/>
          <w:sz w:val="32"/>
          <w:szCs w:val="32"/>
        </w:rPr>
      </w:pPr>
      <w:r>
        <w:rPr>
          <w:rFonts w:ascii="仿宋_GB2312" w:hAnsi="仿宋_GB2312" w:eastAsia="仿宋_GB2312"/>
          <w:color w:val="000000"/>
          <w:sz w:val="32"/>
          <w:szCs w:val="32"/>
        </w:rPr>
        <w:t>（二十</w:t>
      </w:r>
      <w:r>
        <w:rPr>
          <w:rFonts w:hint="eastAsia" w:ascii="仿宋_GB2312" w:hAnsi="仿宋_GB2312" w:eastAsia="仿宋_GB2312"/>
          <w:color w:val="000000"/>
          <w:sz w:val="32"/>
          <w:szCs w:val="32"/>
          <w:lang w:eastAsia="zh-CN"/>
        </w:rPr>
        <w:t>二</w:t>
      </w:r>
      <w:r>
        <w:rPr>
          <w:rFonts w:ascii="仿宋_GB2312" w:hAnsi="仿宋_GB2312" w:eastAsia="仿宋_GB2312"/>
          <w:color w:val="000000"/>
          <w:sz w:val="32"/>
          <w:szCs w:val="32"/>
        </w:rPr>
        <w:t>）指导消费者协会的工作。</w:t>
      </w:r>
    </w:p>
    <w:p w14:paraId="1BFE62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ascii="仿宋_GB2312" w:hAnsi="仿宋_GB2312" w:eastAsia="仿宋_GB2312"/>
          <w:color w:val="000000"/>
          <w:sz w:val="32"/>
          <w:szCs w:val="32"/>
        </w:rPr>
        <w:t>（二十</w:t>
      </w:r>
      <w:r>
        <w:rPr>
          <w:rFonts w:hint="eastAsia" w:ascii="仿宋_GB2312" w:hAnsi="仿宋_GB2312" w:eastAsia="仿宋_GB2312"/>
          <w:color w:val="000000"/>
          <w:sz w:val="32"/>
          <w:szCs w:val="32"/>
          <w:lang w:eastAsia="zh-CN"/>
        </w:rPr>
        <w:t>三</w:t>
      </w:r>
      <w:r>
        <w:rPr>
          <w:rFonts w:ascii="仿宋_GB2312" w:hAnsi="仿宋_GB2312" w:eastAsia="仿宋_GB2312"/>
          <w:color w:val="000000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按规定要求，承担对下属机构业务工作的指导、协调和监督职责。</w:t>
      </w:r>
    </w:p>
    <w:p w14:paraId="590B8B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" w:eastAsia="仿宋_GB2312" w:cs="仿宋"/>
          <w:sz w:val="32"/>
          <w:szCs w:val="32"/>
          <w:lang w:eastAsia="zh-CN"/>
        </w:rPr>
      </w:pPr>
      <w:r>
        <w:rPr>
          <w:rFonts w:ascii="仿宋_GB2312" w:hAnsi="仿宋_GB2312" w:eastAsia="仿宋_GB2312"/>
          <w:color w:val="000000"/>
          <w:sz w:val="32"/>
          <w:szCs w:val="32"/>
        </w:rPr>
        <w:t>（二十</w:t>
      </w:r>
      <w:r>
        <w:rPr>
          <w:rFonts w:hint="eastAsia" w:ascii="仿宋_GB2312" w:hAnsi="仿宋_GB2312" w:eastAsia="仿宋_GB2312"/>
          <w:color w:val="000000"/>
          <w:sz w:val="32"/>
          <w:szCs w:val="32"/>
          <w:lang w:eastAsia="zh-CN"/>
        </w:rPr>
        <w:t>四</w:t>
      </w:r>
      <w:r>
        <w:rPr>
          <w:rFonts w:ascii="仿宋_GB2312" w:hAnsi="仿宋_GB2312" w:eastAsia="仿宋_GB2312"/>
          <w:color w:val="000000"/>
          <w:sz w:val="32"/>
          <w:szCs w:val="32"/>
        </w:rPr>
        <w:t>）完成</w:t>
      </w:r>
      <w:r>
        <w:rPr>
          <w:rFonts w:hint="eastAsia" w:ascii="仿宋_GB2312" w:hAnsi="仿宋_GB2312" w:eastAsia="仿宋_GB2312"/>
          <w:color w:val="000000"/>
          <w:sz w:val="32"/>
          <w:szCs w:val="32"/>
          <w:lang w:eastAsia="zh-CN"/>
        </w:rPr>
        <w:t>县</w:t>
      </w:r>
      <w:r>
        <w:rPr>
          <w:rFonts w:ascii="仿宋_GB2312" w:hAnsi="仿宋_GB2312" w:eastAsia="仿宋_GB2312"/>
          <w:color w:val="000000"/>
          <w:sz w:val="32"/>
          <w:szCs w:val="32"/>
        </w:rPr>
        <w:t>委、</w:t>
      </w:r>
      <w:r>
        <w:rPr>
          <w:rFonts w:hint="eastAsia" w:ascii="仿宋_GB2312" w:hAnsi="仿宋_GB2312" w:eastAsia="仿宋_GB2312"/>
          <w:color w:val="000000"/>
          <w:sz w:val="32"/>
          <w:szCs w:val="32"/>
          <w:lang w:eastAsia="zh-CN"/>
        </w:rPr>
        <w:t>县</w:t>
      </w:r>
      <w:r>
        <w:rPr>
          <w:rFonts w:ascii="仿宋_GB2312" w:hAnsi="仿宋_GB2312" w:eastAsia="仿宋_GB2312"/>
          <w:color w:val="000000"/>
          <w:sz w:val="32"/>
          <w:szCs w:val="32"/>
        </w:rPr>
        <w:t>政府和上级业务主管部门交办的其他任务。</w:t>
      </w:r>
    </w:p>
    <w:p w14:paraId="720E48B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二、机构设置情况</w:t>
      </w:r>
    </w:p>
    <w:p w14:paraId="0C46EDB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eastAsia="仿宋_GB2312" w:cs="仿宋_GB2312"/>
          <w:b w:val="0"/>
          <w:i w:val="0"/>
          <w:caps w:val="0"/>
          <w:color w:val="auto"/>
          <w:spacing w:val="0"/>
          <w:sz w:val="32"/>
          <w:szCs w:val="32"/>
          <w:lang w:val="en-US" w:eastAsia="zh-CN"/>
        </w:rPr>
        <w:t>华池县市场监督管理局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内设</w:t>
      </w:r>
      <w:r>
        <w:rPr>
          <w:rFonts w:hint="eastAsia" w:ascii="仿宋_GB2312" w:eastAsia="仿宋_GB2312" w:cs="仿宋_GB2312"/>
          <w:b w:val="0"/>
          <w:i w:val="0"/>
          <w:caps w:val="0"/>
          <w:color w:val="auto"/>
          <w:spacing w:val="0"/>
          <w:sz w:val="32"/>
          <w:szCs w:val="32"/>
          <w:lang w:val="en-US" w:eastAsia="zh-CN"/>
        </w:rPr>
        <w:t>12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个职能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股室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,包括:办公室、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综合业务股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、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政策法规股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、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行政审批股、信用监管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与消费维权股（12315指挥中心）、市场秩序监督管理股、产品质量监督管理股、食品安全监督管理股、药品医疗器械化妆品监督管理股、计量和标准化监督管理股、特种设备安全监察股、知识产权保护与管理股</w:t>
      </w: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。</w:t>
      </w:r>
    </w:p>
    <w:p w14:paraId="154D889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三、部门/单位收支总体情况</w:t>
      </w:r>
    </w:p>
    <w:p w14:paraId="10AF183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按照预算管理有关规定，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年部门（单位）收支包括机关预算和直属单位预算在内的汇总情况。</w:t>
      </w:r>
    </w:p>
    <w:p w14:paraId="02D85CD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年部门收支总预算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1879.9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万元。按照综合预算的原则，部门（单位）所有收入和支出均纳入部门预算管理。收入包括：一般公共预算拨款收入、政府性基金预算拨款收入、事业收入、事业单位经营收入、其他收入、使用非财政拨款结余、上年结转；支出包括：一般公共服务支出、公共安全支出、教育支出、科学技术支出、社会保障和就业支出、卫生健康支出、交通运输支出、住房保障支出、其他支出。</w:t>
      </w:r>
    </w:p>
    <w:p w14:paraId="78846D7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3" w:firstLineChars="200"/>
        <w:textAlignment w:val="auto"/>
        <w:rPr>
          <w:rFonts w:ascii="楷体_GB2312" w:hAnsi="楷体" w:eastAsia="楷体_GB2312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（一）收入预算</w:t>
      </w:r>
    </w:p>
    <w:p w14:paraId="508BADE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left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年收入预算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1879.9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万元（详见部门/单位预算公开表1,2）。包括：</w:t>
      </w:r>
    </w:p>
    <w:p w14:paraId="745038E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一般公共预算收入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1879.9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2217B58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（二）支出预算</w:t>
      </w:r>
    </w:p>
    <w:p w14:paraId="356FC4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1879.9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万元（详见部门/单位预算公开表3）。</w:t>
      </w:r>
      <w:r>
        <w:rPr>
          <w:rStyle w:val="20"/>
          <w:rFonts w:hint="default" w:hAnsi="仿宋"/>
        </w:rPr>
        <w:t>其中：基本支出</w:t>
      </w:r>
      <w:r>
        <w:rPr>
          <w:rStyle w:val="21"/>
          <w:rFonts w:hint="eastAsia" w:ascii="仿宋_GB2312" w:hAnsi="仿宋" w:eastAsia="仿宋_GB2312"/>
          <w:lang w:val="en-US" w:eastAsia="zh-CN"/>
        </w:rPr>
        <w:t>1749.9</w:t>
      </w:r>
      <w:r>
        <w:rPr>
          <w:rStyle w:val="20"/>
          <w:rFonts w:hint="default" w:hAnsi="仿宋"/>
        </w:rPr>
        <w:t>万元，占</w:t>
      </w:r>
      <w:r>
        <w:rPr>
          <w:rStyle w:val="20"/>
          <w:rFonts w:hint="eastAsia" w:hAnsi="仿宋" w:eastAsia="仿宋_GB2312"/>
          <w:lang w:val="en-US" w:eastAsia="zh-CN"/>
        </w:rPr>
        <w:t>93.08</w:t>
      </w:r>
      <w:r>
        <w:rPr>
          <w:rStyle w:val="21"/>
          <w:rFonts w:hint="eastAsia" w:ascii="仿宋_GB2312" w:hAnsi="仿宋" w:eastAsia="仿宋_GB2312"/>
        </w:rPr>
        <w:t>%</w:t>
      </w:r>
      <w:r>
        <w:rPr>
          <w:rStyle w:val="20"/>
          <w:rFonts w:hint="default" w:hAnsi="仿宋"/>
        </w:rPr>
        <w:t>； 项目支出</w:t>
      </w:r>
      <w:r>
        <w:rPr>
          <w:rStyle w:val="20"/>
          <w:rFonts w:hint="eastAsia" w:hAnsi="仿宋" w:eastAsia="仿宋_GB2312"/>
          <w:lang w:val="en-US" w:eastAsia="zh-CN"/>
        </w:rPr>
        <w:t>130</w:t>
      </w:r>
      <w:r>
        <w:rPr>
          <w:rStyle w:val="20"/>
          <w:rFonts w:hint="default" w:hAnsi="仿宋"/>
        </w:rPr>
        <w:t>万元，占</w:t>
      </w:r>
      <w:r>
        <w:rPr>
          <w:rStyle w:val="21"/>
          <w:rFonts w:hint="eastAsia" w:ascii="仿宋_GB2312" w:hAnsi="仿宋" w:eastAsia="仿宋_GB2312"/>
          <w:lang w:val="en-US" w:eastAsia="zh-CN"/>
        </w:rPr>
        <w:t>6.92</w:t>
      </w:r>
      <w:r>
        <w:rPr>
          <w:rStyle w:val="21"/>
          <w:rFonts w:hint="eastAsia" w:ascii="仿宋_GB2312" w:hAnsi="仿宋" w:eastAsia="仿宋_GB2312"/>
        </w:rPr>
        <w:t>%</w:t>
      </w:r>
      <w:r>
        <w:rPr>
          <w:rStyle w:val="20"/>
          <w:rFonts w:hint="default" w:hAnsi="仿宋"/>
        </w:rPr>
        <w:t>。</w:t>
      </w:r>
    </w:p>
    <w:p w14:paraId="7D7ADD5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四、一般公共预算情况</w:t>
      </w:r>
    </w:p>
    <w:p w14:paraId="0F3C656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Style w:val="21"/>
          <w:rFonts w:hint="eastAsia" w:ascii="仿宋_GB2312" w:hAnsi="仿宋" w:eastAsia="仿宋_GB2312"/>
          <w:lang w:eastAsia="zh-CN"/>
        </w:rPr>
        <w:t>202</w:t>
      </w:r>
      <w:r>
        <w:rPr>
          <w:rStyle w:val="21"/>
          <w:rFonts w:hint="default" w:ascii="仿宋_GB2312" w:hAnsi="仿宋" w:eastAsia="仿宋_GB2312"/>
          <w:lang w:val="en-US" w:eastAsia="zh-CN"/>
        </w:rPr>
        <w:t>6</w:t>
      </w:r>
      <w:r>
        <w:rPr>
          <w:rStyle w:val="20"/>
          <w:rFonts w:hint="default" w:hAnsi="仿宋"/>
        </w:rPr>
        <w:t>年一般公共预算当年支出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1879.9</w:t>
      </w:r>
      <w:r>
        <w:rPr>
          <w:rStyle w:val="20"/>
          <w:rFonts w:hint="default" w:hAnsi="仿宋"/>
        </w:rPr>
        <w:t>万元，包括：一般公共服务支出</w:t>
      </w:r>
      <w:r>
        <w:rPr>
          <w:rStyle w:val="21"/>
          <w:rFonts w:hint="eastAsia" w:ascii="仿宋_GB2312" w:hAnsi="仿宋" w:eastAsia="仿宋_GB2312"/>
          <w:lang w:val="en-US" w:eastAsia="zh-CN"/>
        </w:rPr>
        <w:t>1424.9</w:t>
      </w:r>
      <w:r>
        <w:rPr>
          <w:rStyle w:val="20"/>
          <w:rFonts w:hint="default" w:hAnsi="仿宋"/>
        </w:rPr>
        <w:t>万元、社会保障和就业支出</w:t>
      </w:r>
      <w:r>
        <w:rPr>
          <w:rStyle w:val="21"/>
          <w:rFonts w:hint="eastAsia" w:ascii="仿宋_GB2312" w:hAnsi="仿宋" w:eastAsia="仿宋_GB2312"/>
          <w:lang w:val="en-US" w:eastAsia="zh-CN"/>
        </w:rPr>
        <w:t>250.23</w:t>
      </w:r>
      <w:r>
        <w:rPr>
          <w:rStyle w:val="20"/>
          <w:rFonts w:hint="default" w:hAnsi="仿宋"/>
        </w:rPr>
        <w:t>万元、卫生健康支出</w:t>
      </w:r>
      <w:r>
        <w:rPr>
          <w:rStyle w:val="20"/>
          <w:rFonts w:hint="eastAsia" w:hAnsi="仿宋" w:eastAsia="仿宋_GB2312"/>
          <w:lang w:val="en-US" w:eastAsia="zh-CN"/>
        </w:rPr>
        <w:t>83.69万元、</w:t>
      </w:r>
      <w:r>
        <w:rPr>
          <w:rStyle w:val="20"/>
          <w:rFonts w:hint="default" w:hAnsi="仿宋"/>
        </w:rPr>
        <w:t>住房保障支出</w:t>
      </w:r>
      <w:r>
        <w:rPr>
          <w:rStyle w:val="21"/>
          <w:rFonts w:hint="eastAsia" w:ascii="仿宋_GB2312" w:hAnsi="仿宋" w:eastAsia="仿宋_GB2312"/>
          <w:lang w:val="en-US" w:eastAsia="zh-CN"/>
        </w:rPr>
        <w:t>121.08</w:t>
      </w:r>
      <w:r>
        <w:rPr>
          <w:rStyle w:val="20"/>
          <w:rFonts w:hint="default" w:hAnsi="仿宋"/>
        </w:rPr>
        <w:t>万元</w:t>
      </w:r>
      <w:r>
        <w:rPr>
          <w:rFonts w:hint="eastAsia" w:ascii="仿宋_GB2312" w:hAnsi="仿宋" w:eastAsia="仿宋_GB2312"/>
          <w:sz w:val="32"/>
          <w:szCs w:val="32"/>
        </w:rPr>
        <w:t>具体安排情况如下</w:t>
      </w:r>
      <w:r>
        <w:rPr>
          <w:rFonts w:hint="eastAsia" w:ascii="仿宋_GB2312" w:hAnsi="微软雅黑" w:eastAsia="仿宋_GB2312"/>
          <w:sz w:val="32"/>
          <w:szCs w:val="32"/>
        </w:rPr>
        <w:t>（详见部门（单位）预算公开表4,5,6,7）</w:t>
      </w:r>
      <w:r>
        <w:rPr>
          <w:rFonts w:hint="eastAsia" w:ascii="仿宋_GB2312" w:hAnsi="仿宋" w:eastAsia="仿宋_GB2312"/>
          <w:sz w:val="32"/>
          <w:szCs w:val="32"/>
        </w:rPr>
        <w:t>：</w:t>
      </w:r>
    </w:p>
    <w:p w14:paraId="5972523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（一）基本支出</w:t>
      </w:r>
    </w:p>
    <w:p w14:paraId="1AE4153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contextualSpacing/>
        <w:jc w:val="left"/>
        <w:textAlignment w:val="auto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年基本支出</w:t>
      </w:r>
      <w:r>
        <w:rPr>
          <w:rStyle w:val="21"/>
          <w:rFonts w:hint="eastAsia" w:ascii="仿宋_GB2312" w:hAnsi="仿宋" w:eastAsia="仿宋_GB2312"/>
          <w:lang w:val="en-US" w:eastAsia="zh-CN"/>
        </w:rPr>
        <w:t>1749.9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年预算减少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165.45</w:t>
      </w:r>
      <w:r>
        <w:rPr>
          <w:rFonts w:hint="eastAsia" w:ascii="仿宋_GB2312" w:hAnsi="仿宋" w:eastAsia="仿宋_GB2312"/>
          <w:sz w:val="32"/>
          <w:szCs w:val="32"/>
        </w:rPr>
        <w:t>万元，下降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8.64</w:t>
      </w:r>
      <w:r>
        <w:rPr>
          <w:rFonts w:hint="eastAsia" w:ascii="仿宋_GB2312" w:hAnsi="仿宋" w:eastAsia="仿宋_GB2312"/>
          <w:sz w:val="32"/>
          <w:szCs w:val="32"/>
        </w:rPr>
        <w:t>%，下降的主要原因是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人员减少。</w:t>
      </w:r>
    </w:p>
    <w:p w14:paraId="7088349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其中：人员经费支出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1613.03</w:t>
      </w:r>
      <w:r>
        <w:rPr>
          <w:rFonts w:hint="eastAsia" w:ascii="仿宋_GB2312" w:hAnsi="仿宋" w:eastAsia="仿宋_GB2312"/>
          <w:sz w:val="32"/>
          <w:szCs w:val="32"/>
        </w:rPr>
        <w:t>万元，主要包括：基本工资、津贴补贴、奖金、伙食补助费、绩效工资、机关事业单位基本养老保险缴费、职业年金缴费、职工基本医疗保险缴费、公务员医疗补助缴费、其他社会保障缴费、住房公积金、医疗费、其他工资福利支出、离休费、退休费、退职（役）费、抚恤金、生活补助、救济费、医疗费补助、助学金、奖励金、个人农业生产补贴、代缴社会保险费 、其他对个人和家庭的补助等。</w:t>
      </w:r>
    </w:p>
    <w:p w14:paraId="5167C9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公用经费支出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136.87</w:t>
      </w:r>
      <w:r>
        <w:rPr>
          <w:rFonts w:hint="eastAsia" w:ascii="仿宋_GB2312" w:hAnsi="仿宋" w:eastAsia="仿宋_GB2312"/>
          <w:sz w:val="32"/>
          <w:szCs w:val="32"/>
        </w:rPr>
        <w:t>万元，主要包括：办公费、印刷费、咨询费、手续费、水费、电费、邮电费、取暖费、物业管理费、差旅费、因公出国（境）费、维修（护）费、租赁费、会议费、培训费、公务接待费、专用材料费、被装购置费、专用燃料费、劳务费、委托业务费、工会经费、福利费、公务用车运行维护费、其他交通费用、税金及附加费用、其他商品和服务支出、办公设备购置、专用设备购置等。</w:t>
      </w:r>
    </w:p>
    <w:p w14:paraId="47B7981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（二）项目支出</w:t>
      </w:r>
    </w:p>
    <w:p w14:paraId="2DD7CC2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年一般公共预算财政拨款项目支出预算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130</w:t>
      </w:r>
      <w:r>
        <w:rPr>
          <w:rFonts w:hint="eastAsia" w:ascii="仿宋_GB2312" w:hAnsi="仿宋" w:eastAsia="仿宋_GB2312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较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2025年持平，</w:t>
      </w:r>
      <w:r>
        <w:rPr>
          <w:rFonts w:hint="eastAsia" w:ascii="仿宋_GB2312" w:hAnsi="仿宋" w:eastAsia="仿宋_GB2312"/>
          <w:sz w:val="32"/>
          <w:szCs w:val="32"/>
        </w:rPr>
        <w:t>保障运转经费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个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/>
          <w:sz w:val="32"/>
          <w:szCs w:val="32"/>
        </w:rPr>
        <w:t>主要是项目1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、</w:t>
      </w:r>
      <w:r>
        <w:rPr>
          <w:rFonts w:hint="eastAsia" w:ascii="仿宋_GB2312" w:hAnsi="仿宋" w:eastAsia="仿宋_GB2312"/>
          <w:sz w:val="32"/>
          <w:szCs w:val="32"/>
        </w:rPr>
        <w:t>食品安全检验检测专项经费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；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2、公平竞争审查评估专项经费；3、行政执法专项经费；4、市场监管专项经费;5、实验室试剂耗材购置及检测试剂；6、实验室运行维护费。</w:t>
      </w:r>
    </w:p>
    <w:p w14:paraId="0A65071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五、部门（单位）一般公共预算财政拨款“三公”经费、培训费、会议费等情况</w:t>
      </w:r>
    </w:p>
    <w:p w14:paraId="1A1EA64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“三公”经费情况说明</w:t>
      </w:r>
    </w:p>
    <w:p w14:paraId="6B52960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textAlignment w:val="auto"/>
        <w:rPr>
          <w:rFonts w:ascii="仿宋_GB2312" w:hAnsi="仿宋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“三公”经费预算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3.5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持平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0F5E9B4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.公务接待费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0.5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持平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6CC6752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.公务用车购置及运行维护费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/>
          <w:sz w:val="32"/>
          <w:szCs w:val="32"/>
        </w:rPr>
        <w:t>万元（其中：公务用车购置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万元，公务用车运行维护费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/>
          <w:sz w:val="32"/>
          <w:szCs w:val="32"/>
        </w:rPr>
        <w:t>万元），较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持平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7D35BB7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六、一般公共预算财政拨款机关运行经费情况</w:t>
      </w:r>
    </w:p>
    <w:p w14:paraId="2A2D2CF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机关运行经费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64.3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年预算减少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55.32</w:t>
      </w:r>
      <w:r>
        <w:rPr>
          <w:rFonts w:hint="eastAsia" w:ascii="仿宋_GB2312" w:hAnsi="仿宋" w:eastAsia="仿宋_GB2312"/>
          <w:sz w:val="32"/>
          <w:szCs w:val="32"/>
        </w:rPr>
        <w:t>万元，下降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46.24</w:t>
      </w:r>
      <w:r>
        <w:rPr>
          <w:rFonts w:hint="eastAsia" w:ascii="仿宋_GB2312" w:hAnsi="仿宋" w:eastAsia="仿宋_GB2312"/>
          <w:sz w:val="32"/>
          <w:szCs w:val="32"/>
        </w:rPr>
        <w:t>%，下降的主要原因是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人员调出，福利费、取暖费减少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57B4FFA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七、政府采购安排情况</w:t>
      </w:r>
    </w:p>
    <w:p w14:paraId="73FD1C8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年，部门（单位）政府采购预算总额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31.4</w:t>
      </w:r>
      <w:r>
        <w:rPr>
          <w:rFonts w:hint="eastAsia" w:ascii="仿宋_GB2312" w:hAnsi="仿宋" w:eastAsia="仿宋_GB2312"/>
          <w:sz w:val="32"/>
          <w:szCs w:val="32"/>
        </w:rPr>
        <w:t>万元，其中：政府采购货物预算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13.4</w:t>
      </w:r>
      <w:r>
        <w:rPr>
          <w:rFonts w:hint="eastAsia" w:ascii="仿宋_GB2312" w:hAnsi="仿宋" w:eastAsia="仿宋_GB2312"/>
          <w:sz w:val="32"/>
          <w:szCs w:val="32"/>
        </w:rPr>
        <w:t>万元，政府采购工程预算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万元，政府采购服务预算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18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51697EF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 xml:space="preserve">年，部门（单位）面向中小企业预留政府采购项目预算金额 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18</w:t>
      </w:r>
      <w:r>
        <w:rPr>
          <w:rFonts w:hint="eastAsia" w:ascii="仿宋_GB2312" w:hAnsi="仿宋" w:eastAsia="仿宋_GB2312"/>
          <w:sz w:val="32"/>
          <w:szCs w:val="32"/>
        </w:rPr>
        <w:t>万元，小微企业预留政府采购项目预算金额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13.4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6A19352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八、国有资产占用情况</w:t>
      </w:r>
    </w:p>
    <w:p w14:paraId="7051FEC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上年末固定资产金额为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1566.89</w:t>
      </w:r>
      <w:r>
        <w:rPr>
          <w:rFonts w:hint="eastAsia" w:ascii="仿宋_GB2312" w:hAnsi="仿宋" w:eastAsia="仿宋_GB2312"/>
          <w:sz w:val="32"/>
          <w:szCs w:val="32"/>
        </w:rPr>
        <w:t>万元。其中：办公用房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6891.68</w:t>
      </w:r>
      <w:r>
        <w:rPr>
          <w:rFonts w:hint="eastAsia" w:ascii="仿宋_GB2312" w:hAnsi="仿宋" w:eastAsia="仿宋_GB2312"/>
          <w:sz w:val="32"/>
          <w:szCs w:val="32"/>
        </w:rPr>
        <w:t>平方米，价值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1227.5</w:t>
      </w:r>
      <w:r>
        <w:rPr>
          <w:rFonts w:hint="eastAsia" w:ascii="仿宋_GB2312" w:hAnsi="仿宋" w:eastAsia="仿宋_GB2312"/>
          <w:sz w:val="32"/>
          <w:szCs w:val="32"/>
        </w:rPr>
        <w:t xml:space="preserve">万元。预算部门（单位）共有公务用车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辆，价值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18.7</w:t>
      </w:r>
      <w:r>
        <w:rPr>
          <w:rFonts w:hint="eastAsia" w:ascii="仿宋_GB2312" w:hAnsi="仿宋" w:eastAsia="仿宋_GB2312"/>
          <w:sz w:val="32"/>
          <w:szCs w:val="32"/>
        </w:rPr>
        <w:t>万元。单价20万元以上的设备价值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年拟采购固定资产约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4AAB33A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九、其他重要事项情况说明</w:t>
      </w:r>
    </w:p>
    <w:p w14:paraId="4B4945E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（一）政府性基金预算支出情况</w:t>
      </w:r>
    </w:p>
    <w:p w14:paraId="3D30898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本单位</w:t>
      </w:r>
      <w:r>
        <w:rPr>
          <w:rFonts w:hint="eastAsia" w:ascii="仿宋_GB2312" w:hAnsi="仿宋" w:eastAsia="仿宋_GB2312"/>
          <w:sz w:val="32"/>
          <w:szCs w:val="32"/>
        </w:rPr>
        <w:t>未安排预算，政府性基金预算支出情况表为空表。</w:t>
      </w:r>
    </w:p>
    <w:p w14:paraId="792B6F0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（二）非税收入情况</w:t>
      </w:r>
    </w:p>
    <w:p w14:paraId="0C54ABC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本单位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ascii="仿宋_GB2312" w:hAnsi="仿宋" w:eastAsia="仿宋_GB2312"/>
          <w:sz w:val="32"/>
          <w:szCs w:val="32"/>
        </w:rPr>
        <w:t>无非税收入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09CA264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（三）重点项目情况</w:t>
      </w:r>
    </w:p>
    <w:p w14:paraId="4703C47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本单位年初预算未安排项目支出，无重点项目说明。</w:t>
      </w:r>
    </w:p>
    <w:p w14:paraId="51BD7EB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（四）部门管理转移支付情况</w:t>
      </w:r>
    </w:p>
    <w:p w14:paraId="5F6CF6A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本单位</w:t>
      </w:r>
      <w:r>
        <w:rPr>
          <w:rFonts w:hint="eastAsia" w:ascii="仿宋_GB2312" w:hAnsi="仿宋" w:eastAsia="仿宋_GB2312"/>
          <w:sz w:val="32"/>
          <w:szCs w:val="32"/>
        </w:rPr>
        <w:t>未安排预算，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部门</w:t>
      </w:r>
      <w:r>
        <w:rPr>
          <w:rFonts w:hint="eastAsia" w:ascii="仿宋_GB2312" w:hAnsi="仿宋" w:eastAsia="仿宋_GB2312"/>
          <w:sz w:val="32"/>
          <w:szCs w:val="32"/>
        </w:rPr>
        <w:t>管理转移支付表为空表。</w:t>
      </w:r>
    </w:p>
    <w:p w14:paraId="5706112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（五）国有资本经营预算支出情况</w:t>
      </w:r>
    </w:p>
    <w:p w14:paraId="1565C8A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  <w:lang w:eastAsia="zh-CN"/>
        </w:rPr>
        <w:t>本单位</w:t>
      </w:r>
      <w:r>
        <w:rPr>
          <w:rFonts w:hint="eastAsia" w:ascii="仿宋_GB2312" w:hAnsi="楷体" w:eastAsia="仿宋_GB2312"/>
          <w:sz w:val="32"/>
          <w:szCs w:val="32"/>
        </w:rPr>
        <w:t>未安排预算，国有资本经营预算支出情况表为空表。</w:t>
      </w:r>
    </w:p>
    <w:p w14:paraId="1ED9B13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十、预算绩效管理情况</w:t>
      </w:r>
    </w:p>
    <w:p w14:paraId="1C62EBE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5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年预算绩效管理工作情况。</w:t>
      </w:r>
    </w:p>
    <w:p w14:paraId="5B5CCF1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按照《中共中央 国务院关于全面实施预算绩效管理的意见》《中共甘肃省委 甘肃省人民政府关于全面实施预算绩效管理的实施意见》等相关要求，我们将绩效理念和方法融入预算编制、执行、决算和监督全过程认真开展各项工作。</w:t>
      </w:r>
    </w:p>
    <w:p w14:paraId="545CA32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1.绩效目标管理情况。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年度，按照“谁申请资金，谁设置目标”的原则，纳入部门预算管理的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仿宋" w:eastAsia="仿宋_GB2312"/>
          <w:sz w:val="32"/>
          <w:szCs w:val="32"/>
        </w:rPr>
        <w:t>整体支出和项目绩效目标   个，按规定随年度预算一并公开项目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" w:eastAsia="仿宋_GB2312"/>
          <w:sz w:val="32"/>
          <w:szCs w:val="32"/>
        </w:rPr>
        <w:t>个，公开率为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58BC862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  <w:highlight w:val="none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2.绩效运行监控情况。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sz w:val="32"/>
          <w:szCs w:val="32"/>
        </w:rPr>
        <w:t>月，组织开展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1-6</w:t>
      </w:r>
      <w:r>
        <w:rPr>
          <w:rFonts w:hint="eastAsia" w:ascii="仿宋_GB2312" w:hAnsi="仿宋" w:eastAsia="仿宋_GB2312"/>
          <w:sz w:val="32"/>
          <w:szCs w:val="32"/>
        </w:rPr>
        <w:t>月绩效运行监控项目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" w:eastAsia="仿宋_GB2312"/>
          <w:sz w:val="32"/>
          <w:szCs w:val="32"/>
        </w:rPr>
        <w:t>个，占本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仿宋" w:eastAsia="仿宋_GB2312"/>
          <w:sz w:val="32"/>
          <w:szCs w:val="32"/>
        </w:rPr>
        <w:t>项目的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%。截至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" w:eastAsia="仿宋_GB2312"/>
          <w:sz w:val="32"/>
          <w:szCs w:val="32"/>
        </w:rPr>
        <w:t>月底，如期完成预算执行和绩效目标指标值的项目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" w:eastAsia="仿宋_GB2312"/>
          <w:sz w:val="32"/>
          <w:szCs w:val="32"/>
        </w:rPr>
        <w:t>个，完成率为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%。“双监控”发现存在的问题和主要原因是：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填报绩效目标设置过于宏观，具体的量化指标不足，提现绩效目标的实现程度较为模糊。</w:t>
      </w:r>
      <w:r>
        <w:rPr>
          <w:rFonts w:hint="eastAsia" w:ascii="仿宋_GB2312" w:hAnsi="仿宋" w:eastAsia="仿宋_GB2312"/>
          <w:sz w:val="32"/>
          <w:szCs w:val="32"/>
        </w:rPr>
        <w:t>。开展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1-9</w:t>
      </w:r>
      <w:r>
        <w:rPr>
          <w:rFonts w:hint="eastAsia" w:ascii="仿宋_GB2312" w:hAnsi="仿宋" w:eastAsia="仿宋_GB2312"/>
          <w:sz w:val="32"/>
          <w:szCs w:val="32"/>
        </w:rPr>
        <w:t>月绩效运行监控项目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" w:eastAsia="仿宋_GB2312"/>
          <w:sz w:val="32"/>
          <w:szCs w:val="32"/>
        </w:rPr>
        <w:t>个，占本部门（单位）项目的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%。截至10月底，如期完成预算执行和绩效目标指标值的项目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" w:eastAsia="仿宋_GB2312"/>
          <w:sz w:val="32"/>
          <w:szCs w:val="32"/>
        </w:rPr>
        <w:t>个，完成率为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%。“双监控”发现存在的问题和主要原因是：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绩效运行监控报表填报不规范，无法监控绩效目标的实现程度。</w:t>
      </w:r>
      <w:r>
        <w:rPr>
          <w:rFonts w:hint="eastAsia" w:ascii="仿宋_GB2312" w:hAnsi="仿宋" w:eastAsia="仿宋_GB2312"/>
          <w:sz w:val="32"/>
          <w:szCs w:val="32"/>
        </w:rPr>
        <w:t>绩效运行监控在部门内部通报整改情况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：</w:t>
      </w:r>
      <w:r>
        <w:rPr>
          <w:rFonts w:hint="eastAsia" w:ascii="仿宋_GB2312" w:hAnsi="仿宋" w:eastAsia="仿宋_GB2312"/>
          <w:sz w:val="32"/>
          <w:szCs w:val="32"/>
          <w:highlight w:val="none"/>
          <w:lang w:eastAsia="zh-CN"/>
        </w:rPr>
        <w:t>已组织开展绩效运行监控业务培训，规范报表填报口径与流程，建立“填报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-初审-复核</w:t>
      </w:r>
      <w:r>
        <w:rPr>
          <w:rFonts w:hint="eastAsia" w:ascii="仿宋_GB2312" w:hAnsi="仿宋" w:eastAsia="仿宋_GB2312"/>
          <w:sz w:val="32"/>
          <w:szCs w:val="32"/>
          <w:highlight w:val="none"/>
          <w:lang w:eastAsia="zh-CN"/>
        </w:rPr>
        <w:t>”三级审核机制，对发现的问题逐项督促整改，整改完成率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100%，确保绩效目标实现情况可监控、可追溯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。</w:t>
      </w:r>
    </w:p>
    <w:p w14:paraId="034CF0D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3.绩效自评开展情况。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年度，组织开展绩效自评项目共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" w:eastAsia="仿宋_GB2312"/>
          <w:sz w:val="32"/>
          <w:szCs w:val="32"/>
        </w:rPr>
        <w:t>个，其中，部门（单位）整体支出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个，项目支出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" w:eastAsia="仿宋_GB2312"/>
          <w:sz w:val="32"/>
          <w:szCs w:val="32"/>
        </w:rPr>
        <w:t xml:space="preserve"> 个，转移支付项目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/>
          <w:sz w:val="32"/>
          <w:szCs w:val="32"/>
        </w:rPr>
        <w:t>个，绩效自评覆盖率为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%。绩效自评结果随部门决算报送财政和随决算公开情况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：</w:t>
      </w:r>
      <w:r>
        <w:rPr>
          <w:rFonts w:hint="eastAsia" w:ascii="仿宋_GB2312" w:hAnsi="仿宋" w:eastAsia="仿宋_GB2312"/>
          <w:sz w:val="32"/>
          <w:szCs w:val="32"/>
          <w:highlight w:val="none"/>
          <w:lang w:eastAsia="zh-CN"/>
        </w:rPr>
        <w:t>绩效自评结果已全部随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2025年度部门决算报送至财政部门，并按照政府信息公开相关规定，在政府门户网站随决算信息同步向社会公开，主动接受监督，保障自评工作的透明度与公信力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。</w:t>
      </w:r>
    </w:p>
    <w:p w14:paraId="03B18EC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jc w:val="left"/>
        <w:textAlignment w:val="auto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b/>
          <w:sz w:val="32"/>
          <w:szCs w:val="32"/>
        </w:rPr>
        <w:t>4.绩效结果应用情况。</w:t>
      </w:r>
      <w:r>
        <w:rPr>
          <w:rFonts w:hint="eastAsia" w:ascii="仿宋_GB2312" w:hAnsi="仿宋" w:eastAsia="仿宋_GB2312"/>
          <w:sz w:val="32"/>
          <w:szCs w:val="32"/>
        </w:rPr>
        <w:t>根据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年度绩效运行监控、绩效自评等情况，当年盘活财政资金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年度增加（减少）部门预算项目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个，增长率/压减率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%。同时对政策和项目资金管理作出调整的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  个。</w:t>
      </w:r>
    </w:p>
    <w:p w14:paraId="7067FDF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6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年绩效目标编制情况</w:t>
      </w:r>
    </w:p>
    <w:p w14:paraId="5ED3C40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年，纳入部门/单位预算绩效目标管理的项目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个。其中，部门整体支出绩效目标围绕部门管理、履职效果、能力建设三个维度，设置二级指标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17</w:t>
      </w:r>
      <w:r>
        <w:rPr>
          <w:rFonts w:hint="eastAsia" w:ascii="仿宋_GB2312" w:hAnsi="仿宋" w:eastAsia="仿宋_GB2312"/>
          <w:sz w:val="32"/>
          <w:szCs w:val="32"/>
        </w:rPr>
        <w:t>个、三级指标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25</w:t>
      </w:r>
      <w:r>
        <w:rPr>
          <w:rFonts w:hint="eastAsia" w:ascii="仿宋_GB2312" w:hAnsi="仿宋" w:eastAsia="仿宋_GB2312"/>
          <w:sz w:val="32"/>
          <w:szCs w:val="32"/>
        </w:rPr>
        <w:t>个；项目支出绩效目标围绕成本指标、产出指标、效益指标、满意度指标四个维度，设置二级指标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sz w:val="32"/>
          <w:szCs w:val="32"/>
        </w:rPr>
        <w:t>个、三级指标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14</w:t>
      </w:r>
      <w:r>
        <w:rPr>
          <w:rFonts w:hint="eastAsia" w:ascii="仿宋_GB2312" w:hAnsi="仿宋" w:eastAsia="仿宋_GB2312"/>
          <w:sz w:val="32"/>
          <w:szCs w:val="32"/>
        </w:rPr>
        <w:t>个。各项绩效目标内容指向明确、细化量化、合理可行，符合规定的格式要求。</w:t>
      </w:r>
    </w:p>
    <w:p w14:paraId="1B6BE29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十一、名词解释</w:t>
      </w:r>
    </w:p>
    <w:p w14:paraId="476EBD1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1、财政拨款: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指由一般公共预算、政府性基金预算、国有资本经营预算安排的财政拨款数。</w:t>
      </w:r>
    </w:p>
    <w:p w14:paraId="4CC6C57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2、一般公共预算: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包括公共财政拨款（补助）资金、专项收入。</w:t>
      </w:r>
    </w:p>
    <w:p w14:paraId="7908A71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3、财政专户管理资金: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包括专户管理行政事业性收费（主要是教育收费）、其他非税收入。</w:t>
      </w:r>
    </w:p>
    <w:p w14:paraId="4CE172D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4、其他资金: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包括事业收入、事业经营收入、其他收入等。</w:t>
      </w:r>
    </w:p>
    <w:p w14:paraId="6D5803A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5、基本支出: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包括人员经费、公用经费（定额）。其中，人员经费包括工资福利支出、对个人和家庭的补助。</w:t>
      </w:r>
    </w:p>
    <w:p w14:paraId="696C919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6、项目支出: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部门（单位）支出预算的组成部分，是各部门（单位）为完成其特定的行政任务或事业发展目标，在基本支出预算之外编制的年度项目支出计划。</w:t>
      </w:r>
    </w:p>
    <w:p w14:paraId="3E4D9AA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7、“三公”经费: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因公出国（境）费、公务用车购置及运行维护费和公务接待费。其中，因公出国（境）费反映单位公务出国（境）的国际旅费、国外城市间交通费、住宿费、伙食费、培训费、公杂费等支出；公务用车运行维护费反映单位按规定保留的公务用车租用费、燃料费、维修费、过路过桥费、保险费、安全奖励费用等支出；公务接待费反映单位按规定开支的各类公务接待（含外宾接待）支出。</w:t>
      </w:r>
    </w:p>
    <w:p w14:paraId="4CA7FF0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8、机关运行经费: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为保障行政单位（包括实行公务员管理的事业单位）运行用于购买货物和服务的各项资金，包括办公及印刷费、邮电费、差旅费、会议费、福利费、日常维修费、一般设备购置费、办公用房水电费、办公用房取暖费、办公用房物业管理费、公务用车运行维护费以及其他费用。</w:t>
      </w:r>
    </w:p>
    <w:p w14:paraId="453FCEB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contextualSpacing/>
        <w:jc w:val="right"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27F7E6E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1120"/>
        <w:contextualSpacing/>
        <w:jc w:val="right"/>
        <w:textAlignment w:val="auto"/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</w:pPr>
    </w:p>
    <w:p w14:paraId="3A567A8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1120"/>
        <w:contextualSpacing/>
        <w:jc w:val="right"/>
        <w:textAlignment w:val="auto"/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  <w:t>华池县市场监督管理局</w:t>
      </w:r>
    </w:p>
    <w:p w14:paraId="77E8516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1120"/>
        <w:contextualSpacing/>
        <w:jc w:val="center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 xml:space="preserve">                                 2026年3月10日</w:t>
      </w:r>
    </w:p>
    <w:p w14:paraId="104DAE9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textAlignment w:val="auto"/>
        <w:rPr>
          <w:rFonts w:ascii="仿宋_GB2312" w:hAnsi="宋体" w:eastAsia="仿宋_GB2312" w:cs="宋体"/>
          <w:kern w:val="0"/>
          <w:sz w:val="32"/>
          <w:szCs w:val="32"/>
        </w:rPr>
      </w:pPr>
    </w:p>
    <w:p w14:paraId="0358EE4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textAlignment w:val="auto"/>
        <w:rPr>
          <w:rFonts w:ascii="仿宋_GB2312" w:hAnsi="宋体" w:eastAsia="仿宋_GB2312" w:cs="宋体"/>
          <w:spacing w:val="-2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附件：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1.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eastAsia="zh-CN"/>
        </w:rPr>
        <w:t>华池县市场监督管理局202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  <w:t>部门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预算公开表</w:t>
      </w:r>
    </w:p>
    <w:p w14:paraId="4E90257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1796" w:leftChars="767" w:hanging="185" w:hangingChars="58"/>
        <w:contextualSpacing/>
        <w:textAlignment w:val="auto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2.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eastAsia="zh-CN"/>
        </w:rPr>
        <w:t>华池县市场监督管理局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部门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整体支出绩效目标表</w:t>
      </w:r>
    </w:p>
    <w:p w14:paraId="22DB4760">
      <w:pPr>
        <w:keepNext w:val="0"/>
        <w:keepLines w:val="0"/>
        <w:pageBreakBefore w:val="0"/>
        <w:tabs>
          <w:tab w:val="left" w:pos="1272"/>
        </w:tabs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</w:pPr>
      <w:bookmarkStart w:id="0" w:name="_GoBack"/>
      <w:bookmarkEnd w:id="0"/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CIDFont+F6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IDFont+F4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EBF69E">
    <w:pPr>
      <w:pStyle w:val="5"/>
      <w:jc w:val="center"/>
    </w:pPr>
  </w:p>
  <w:p w14:paraId="18AFAB9B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4C854A">
    <w:pPr>
      <w:pStyle w:val="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27</w:t>
    </w:r>
    <w:r>
      <w:fldChar w:fldCharType="end"/>
    </w:r>
  </w:p>
  <w:p w14:paraId="7F222DAC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jNDcxNWMxNzA4MWQ4MjRlNWExMTQwYmYzY2EyYmIifQ=="/>
  </w:docVars>
  <w:rsids>
    <w:rsidRoot w:val="00FB4362"/>
    <w:rsid w:val="00000C55"/>
    <w:rsid w:val="00001446"/>
    <w:rsid w:val="0001130C"/>
    <w:rsid w:val="00011F27"/>
    <w:rsid w:val="00012457"/>
    <w:rsid w:val="00021BBF"/>
    <w:rsid w:val="00030443"/>
    <w:rsid w:val="00030F4C"/>
    <w:rsid w:val="0003278A"/>
    <w:rsid w:val="000368FE"/>
    <w:rsid w:val="00042A06"/>
    <w:rsid w:val="00043601"/>
    <w:rsid w:val="000442B5"/>
    <w:rsid w:val="0004639D"/>
    <w:rsid w:val="000465E2"/>
    <w:rsid w:val="0005161F"/>
    <w:rsid w:val="000547D1"/>
    <w:rsid w:val="00055759"/>
    <w:rsid w:val="000612EE"/>
    <w:rsid w:val="00061BAF"/>
    <w:rsid w:val="0006337D"/>
    <w:rsid w:val="00074626"/>
    <w:rsid w:val="00076B62"/>
    <w:rsid w:val="00082093"/>
    <w:rsid w:val="000861D5"/>
    <w:rsid w:val="0009273A"/>
    <w:rsid w:val="000A20A7"/>
    <w:rsid w:val="000A655B"/>
    <w:rsid w:val="000B54DD"/>
    <w:rsid w:val="000C2055"/>
    <w:rsid w:val="000C2B7F"/>
    <w:rsid w:val="000C37BE"/>
    <w:rsid w:val="000C4C50"/>
    <w:rsid w:val="000D0130"/>
    <w:rsid w:val="000D2EEE"/>
    <w:rsid w:val="000D2F19"/>
    <w:rsid w:val="000E0CEA"/>
    <w:rsid w:val="000F3CBF"/>
    <w:rsid w:val="000F3F42"/>
    <w:rsid w:val="000F473D"/>
    <w:rsid w:val="001017F3"/>
    <w:rsid w:val="0011297B"/>
    <w:rsid w:val="00123768"/>
    <w:rsid w:val="00126B08"/>
    <w:rsid w:val="001272E5"/>
    <w:rsid w:val="00127D01"/>
    <w:rsid w:val="00130F5F"/>
    <w:rsid w:val="001374F5"/>
    <w:rsid w:val="00152FDC"/>
    <w:rsid w:val="001561FD"/>
    <w:rsid w:val="0015647B"/>
    <w:rsid w:val="00156619"/>
    <w:rsid w:val="00156C8B"/>
    <w:rsid w:val="00160A8C"/>
    <w:rsid w:val="001700B4"/>
    <w:rsid w:val="00171070"/>
    <w:rsid w:val="001A416A"/>
    <w:rsid w:val="001A6118"/>
    <w:rsid w:val="001B0364"/>
    <w:rsid w:val="001B0B8E"/>
    <w:rsid w:val="001B342F"/>
    <w:rsid w:val="001C1259"/>
    <w:rsid w:val="001D1DA7"/>
    <w:rsid w:val="001E17E4"/>
    <w:rsid w:val="001E2410"/>
    <w:rsid w:val="001E347C"/>
    <w:rsid w:val="001E6110"/>
    <w:rsid w:val="001F3C4D"/>
    <w:rsid w:val="002033EA"/>
    <w:rsid w:val="00214046"/>
    <w:rsid w:val="0022561F"/>
    <w:rsid w:val="00232DBE"/>
    <w:rsid w:val="002355E7"/>
    <w:rsid w:val="00235F73"/>
    <w:rsid w:val="0023681E"/>
    <w:rsid w:val="00241FEC"/>
    <w:rsid w:val="00243562"/>
    <w:rsid w:val="0025164A"/>
    <w:rsid w:val="00265C3D"/>
    <w:rsid w:val="00266C2E"/>
    <w:rsid w:val="00270DF8"/>
    <w:rsid w:val="002754B3"/>
    <w:rsid w:val="0028392B"/>
    <w:rsid w:val="002934F2"/>
    <w:rsid w:val="002A3A19"/>
    <w:rsid w:val="002A3ED4"/>
    <w:rsid w:val="002A7274"/>
    <w:rsid w:val="002B2833"/>
    <w:rsid w:val="002B7BA1"/>
    <w:rsid w:val="002C01BB"/>
    <w:rsid w:val="002C3FA4"/>
    <w:rsid w:val="002E2161"/>
    <w:rsid w:val="002E30F2"/>
    <w:rsid w:val="002E4E72"/>
    <w:rsid w:val="002F0CE0"/>
    <w:rsid w:val="002F4ED9"/>
    <w:rsid w:val="002F75FE"/>
    <w:rsid w:val="002F7FA5"/>
    <w:rsid w:val="003017F4"/>
    <w:rsid w:val="00301AAB"/>
    <w:rsid w:val="00306B68"/>
    <w:rsid w:val="003129FE"/>
    <w:rsid w:val="003322AC"/>
    <w:rsid w:val="00335342"/>
    <w:rsid w:val="00343A8E"/>
    <w:rsid w:val="00345713"/>
    <w:rsid w:val="003566B9"/>
    <w:rsid w:val="00356C98"/>
    <w:rsid w:val="0036367B"/>
    <w:rsid w:val="0036496C"/>
    <w:rsid w:val="00365414"/>
    <w:rsid w:val="00372734"/>
    <w:rsid w:val="00372A33"/>
    <w:rsid w:val="0037374A"/>
    <w:rsid w:val="00377A88"/>
    <w:rsid w:val="00392E2B"/>
    <w:rsid w:val="003A396F"/>
    <w:rsid w:val="003A68FD"/>
    <w:rsid w:val="003A7A18"/>
    <w:rsid w:val="003B3187"/>
    <w:rsid w:val="003B327A"/>
    <w:rsid w:val="003B4612"/>
    <w:rsid w:val="003B76D2"/>
    <w:rsid w:val="003D6D41"/>
    <w:rsid w:val="003E3B0A"/>
    <w:rsid w:val="0040581D"/>
    <w:rsid w:val="00417BF3"/>
    <w:rsid w:val="00425D21"/>
    <w:rsid w:val="00426463"/>
    <w:rsid w:val="00427875"/>
    <w:rsid w:val="004317A0"/>
    <w:rsid w:val="0043556D"/>
    <w:rsid w:val="0043739B"/>
    <w:rsid w:val="00441579"/>
    <w:rsid w:val="004418B5"/>
    <w:rsid w:val="00445789"/>
    <w:rsid w:val="00463FB8"/>
    <w:rsid w:val="00480A2F"/>
    <w:rsid w:val="00480B47"/>
    <w:rsid w:val="00481F19"/>
    <w:rsid w:val="00487BC0"/>
    <w:rsid w:val="00490FF8"/>
    <w:rsid w:val="004A1851"/>
    <w:rsid w:val="004B337A"/>
    <w:rsid w:val="004B5538"/>
    <w:rsid w:val="004C3127"/>
    <w:rsid w:val="004D27C3"/>
    <w:rsid w:val="004D44D2"/>
    <w:rsid w:val="004D491E"/>
    <w:rsid w:val="004E3E51"/>
    <w:rsid w:val="004E625A"/>
    <w:rsid w:val="004F73BD"/>
    <w:rsid w:val="00502474"/>
    <w:rsid w:val="00515110"/>
    <w:rsid w:val="00523062"/>
    <w:rsid w:val="00532434"/>
    <w:rsid w:val="00537019"/>
    <w:rsid w:val="0054271B"/>
    <w:rsid w:val="00545281"/>
    <w:rsid w:val="00551A39"/>
    <w:rsid w:val="00566585"/>
    <w:rsid w:val="00580A2F"/>
    <w:rsid w:val="005A2CB7"/>
    <w:rsid w:val="005B15C7"/>
    <w:rsid w:val="005B51EA"/>
    <w:rsid w:val="005C6B92"/>
    <w:rsid w:val="005F4CC9"/>
    <w:rsid w:val="0060056E"/>
    <w:rsid w:val="006039C9"/>
    <w:rsid w:val="00605602"/>
    <w:rsid w:val="00605D22"/>
    <w:rsid w:val="00620A03"/>
    <w:rsid w:val="00621126"/>
    <w:rsid w:val="0062145A"/>
    <w:rsid w:val="00633C60"/>
    <w:rsid w:val="00645C9F"/>
    <w:rsid w:val="00650775"/>
    <w:rsid w:val="0065388D"/>
    <w:rsid w:val="00655506"/>
    <w:rsid w:val="00674396"/>
    <w:rsid w:val="006849AD"/>
    <w:rsid w:val="006853A7"/>
    <w:rsid w:val="0069507F"/>
    <w:rsid w:val="006955DD"/>
    <w:rsid w:val="00697A98"/>
    <w:rsid w:val="006A0492"/>
    <w:rsid w:val="006A3DED"/>
    <w:rsid w:val="006A6E23"/>
    <w:rsid w:val="006B05FF"/>
    <w:rsid w:val="006C4D2E"/>
    <w:rsid w:val="006D3D60"/>
    <w:rsid w:val="006E1F9C"/>
    <w:rsid w:val="006E4A2C"/>
    <w:rsid w:val="006E721A"/>
    <w:rsid w:val="006F0E11"/>
    <w:rsid w:val="006F40C8"/>
    <w:rsid w:val="00700872"/>
    <w:rsid w:val="00706BB4"/>
    <w:rsid w:val="00714029"/>
    <w:rsid w:val="007203B6"/>
    <w:rsid w:val="007222C1"/>
    <w:rsid w:val="00725205"/>
    <w:rsid w:val="0074091B"/>
    <w:rsid w:val="00740927"/>
    <w:rsid w:val="00744302"/>
    <w:rsid w:val="00747C60"/>
    <w:rsid w:val="007732EA"/>
    <w:rsid w:val="00777EA3"/>
    <w:rsid w:val="007933F9"/>
    <w:rsid w:val="00793C7B"/>
    <w:rsid w:val="007954B6"/>
    <w:rsid w:val="007A5E22"/>
    <w:rsid w:val="007B3768"/>
    <w:rsid w:val="007B5395"/>
    <w:rsid w:val="007C38FB"/>
    <w:rsid w:val="007C6434"/>
    <w:rsid w:val="007D4E4C"/>
    <w:rsid w:val="007D5F13"/>
    <w:rsid w:val="007D69F8"/>
    <w:rsid w:val="007E4819"/>
    <w:rsid w:val="007E4E03"/>
    <w:rsid w:val="007E7289"/>
    <w:rsid w:val="00805F3F"/>
    <w:rsid w:val="00817A5D"/>
    <w:rsid w:val="00821209"/>
    <w:rsid w:val="00821491"/>
    <w:rsid w:val="00831411"/>
    <w:rsid w:val="00842536"/>
    <w:rsid w:val="00843692"/>
    <w:rsid w:val="0085135B"/>
    <w:rsid w:val="0085287C"/>
    <w:rsid w:val="008559B6"/>
    <w:rsid w:val="008559FD"/>
    <w:rsid w:val="00855E65"/>
    <w:rsid w:val="0085612E"/>
    <w:rsid w:val="00880868"/>
    <w:rsid w:val="00880D30"/>
    <w:rsid w:val="008811AD"/>
    <w:rsid w:val="008812FA"/>
    <w:rsid w:val="008B222B"/>
    <w:rsid w:val="008C138F"/>
    <w:rsid w:val="008C204C"/>
    <w:rsid w:val="008C2625"/>
    <w:rsid w:val="008C4FE2"/>
    <w:rsid w:val="008D4D6A"/>
    <w:rsid w:val="008F7014"/>
    <w:rsid w:val="009049E9"/>
    <w:rsid w:val="00907F9B"/>
    <w:rsid w:val="00911503"/>
    <w:rsid w:val="00917C2D"/>
    <w:rsid w:val="009209B6"/>
    <w:rsid w:val="00923CB4"/>
    <w:rsid w:val="009335E0"/>
    <w:rsid w:val="00941732"/>
    <w:rsid w:val="009510F3"/>
    <w:rsid w:val="00954018"/>
    <w:rsid w:val="00955590"/>
    <w:rsid w:val="00970435"/>
    <w:rsid w:val="009704EC"/>
    <w:rsid w:val="00971619"/>
    <w:rsid w:val="00982EAB"/>
    <w:rsid w:val="0098505E"/>
    <w:rsid w:val="00991480"/>
    <w:rsid w:val="009945A7"/>
    <w:rsid w:val="00995E63"/>
    <w:rsid w:val="0099643D"/>
    <w:rsid w:val="009969DC"/>
    <w:rsid w:val="00996BA5"/>
    <w:rsid w:val="009A0F79"/>
    <w:rsid w:val="009A3C75"/>
    <w:rsid w:val="009B03F2"/>
    <w:rsid w:val="009C4EE2"/>
    <w:rsid w:val="009D46B1"/>
    <w:rsid w:val="009E7F6E"/>
    <w:rsid w:val="009F2B6A"/>
    <w:rsid w:val="009F5541"/>
    <w:rsid w:val="00A01204"/>
    <w:rsid w:val="00A022BA"/>
    <w:rsid w:val="00A256AC"/>
    <w:rsid w:val="00A32BE3"/>
    <w:rsid w:val="00A4207A"/>
    <w:rsid w:val="00A5653E"/>
    <w:rsid w:val="00A63533"/>
    <w:rsid w:val="00A723C4"/>
    <w:rsid w:val="00A72D2B"/>
    <w:rsid w:val="00A820E9"/>
    <w:rsid w:val="00A82942"/>
    <w:rsid w:val="00A83E24"/>
    <w:rsid w:val="00AA20F8"/>
    <w:rsid w:val="00AA327B"/>
    <w:rsid w:val="00AA55AF"/>
    <w:rsid w:val="00AB19A5"/>
    <w:rsid w:val="00AC2FD6"/>
    <w:rsid w:val="00AC78FC"/>
    <w:rsid w:val="00AD4CFE"/>
    <w:rsid w:val="00AE79BA"/>
    <w:rsid w:val="00AF350E"/>
    <w:rsid w:val="00AF3D8F"/>
    <w:rsid w:val="00AF5273"/>
    <w:rsid w:val="00AF5D3D"/>
    <w:rsid w:val="00B0671C"/>
    <w:rsid w:val="00B13495"/>
    <w:rsid w:val="00B262DD"/>
    <w:rsid w:val="00B278DE"/>
    <w:rsid w:val="00B30287"/>
    <w:rsid w:val="00B30EBD"/>
    <w:rsid w:val="00B351C3"/>
    <w:rsid w:val="00B36AC9"/>
    <w:rsid w:val="00B36E7A"/>
    <w:rsid w:val="00B542CD"/>
    <w:rsid w:val="00B6465B"/>
    <w:rsid w:val="00B772D7"/>
    <w:rsid w:val="00B85451"/>
    <w:rsid w:val="00B86006"/>
    <w:rsid w:val="00B86D86"/>
    <w:rsid w:val="00BA2A96"/>
    <w:rsid w:val="00BA5FE5"/>
    <w:rsid w:val="00BC1FD9"/>
    <w:rsid w:val="00BC30FF"/>
    <w:rsid w:val="00BC500D"/>
    <w:rsid w:val="00BD7FD7"/>
    <w:rsid w:val="00BF1606"/>
    <w:rsid w:val="00BF1647"/>
    <w:rsid w:val="00BF5A25"/>
    <w:rsid w:val="00C06428"/>
    <w:rsid w:val="00C11347"/>
    <w:rsid w:val="00C35018"/>
    <w:rsid w:val="00C40A34"/>
    <w:rsid w:val="00C4484E"/>
    <w:rsid w:val="00C46F7C"/>
    <w:rsid w:val="00C519B5"/>
    <w:rsid w:val="00C55EDB"/>
    <w:rsid w:val="00C573E9"/>
    <w:rsid w:val="00C729DA"/>
    <w:rsid w:val="00C764B7"/>
    <w:rsid w:val="00C90B56"/>
    <w:rsid w:val="00CA3F25"/>
    <w:rsid w:val="00CB5B9D"/>
    <w:rsid w:val="00CB6428"/>
    <w:rsid w:val="00CC01A5"/>
    <w:rsid w:val="00CC2134"/>
    <w:rsid w:val="00CD255A"/>
    <w:rsid w:val="00D126EC"/>
    <w:rsid w:val="00D14955"/>
    <w:rsid w:val="00D24CD6"/>
    <w:rsid w:val="00D24FA6"/>
    <w:rsid w:val="00D544D2"/>
    <w:rsid w:val="00D660F8"/>
    <w:rsid w:val="00D744C5"/>
    <w:rsid w:val="00D827AF"/>
    <w:rsid w:val="00D8451F"/>
    <w:rsid w:val="00D8474D"/>
    <w:rsid w:val="00D84D5B"/>
    <w:rsid w:val="00D86771"/>
    <w:rsid w:val="00D90C73"/>
    <w:rsid w:val="00D90F17"/>
    <w:rsid w:val="00D9480E"/>
    <w:rsid w:val="00D94FFD"/>
    <w:rsid w:val="00DA7038"/>
    <w:rsid w:val="00DB4AF2"/>
    <w:rsid w:val="00DB572A"/>
    <w:rsid w:val="00DC14B3"/>
    <w:rsid w:val="00DC399C"/>
    <w:rsid w:val="00DC7D6D"/>
    <w:rsid w:val="00DD2999"/>
    <w:rsid w:val="00DD2B43"/>
    <w:rsid w:val="00DD2CF8"/>
    <w:rsid w:val="00DD5C58"/>
    <w:rsid w:val="00DE240B"/>
    <w:rsid w:val="00DE529C"/>
    <w:rsid w:val="00DE6D9E"/>
    <w:rsid w:val="00DF3482"/>
    <w:rsid w:val="00DF450F"/>
    <w:rsid w:val="00E04A58"/>
    <w:rsid w:val="00E07425"/>
    <w:rsid w:val="00E07A05"/>
    <w:rsid w:val="00E16025"/>
    <w:rsid w:val="00E167FD"/>
    <w:rsid w:val="00E16F50"/>
    <w:rsid w:val="00E24179"/>
    <w:rsid w:val="00E31783"/>
    <w:rsid w:val="00E36636"/>
    <w:rsid w:val="00E43A34"/>
    <w:rsid w:val="00E44D37"/>
    <w:rsid w:val="00E52850"/>
    <w:rsid w:val="00E609A5"/>
    <w:rsid w:val="00E61928"/>
    <w:rsid w:val="00E656D2"/>
    <w:rsid w:val="00E7276C"/>
    <w:rsid w:val="00E84382"/>
    <w:rsid w:val="00E9180B"/>
    <w:rsid w:val="00EA0646"/>
    <w:rsid w:val="00EA2BA4"/>
    <w:rsid w:val="00EA3103"/>
    <w:rsid w:val="00EB15C1"/>
    <w:rsid w:val="00EC325A"/>
    <w:rsid w:val="00EC3A8E"/>
    <w:rsid w:val="00EC57F0"/>
    <w:rsid w:val="00ED68AF"/>
    <w:rsid w:val="00EF2E7C"/>
    <w:rsid w:val="00F01A6E"/>
    <w:rsid w:val="00F11811"/>
    <w:rsid w:val="00F20178"/>
    <w:rsid w:val="00F23C6C"/>
    <w:rsid w:val="00F24BC8"/>
    <w:rsid w:val="00F25045"/>
    <w:rsid w:val="00F30F3E"/>
    <w:rsid w:val="00F32002"/>
    <w:rsid w:val="00F4605D"/>
    <w:rsid w:val="00F51EF5"/>
    <w:rsid w:val="00F74928"/>
    <w:rsid w:val="00F8197E"/>
    <w:rsid w:val="00F833B1"/>
    <w:rsid w:val="00F87D90"/>
    <w:rsid w:val="00F90495"/>
    <w:rsid w:val="00FA4179"/>
    <w:rsid w:val="00FB4362"/>
    <w:rsid w:val="00FB53A1"/>
    <w:rsid w:val="00FD30CF"/>
    <w:rsid w:val="00FE0E46"/>
    <w:rsid w:val="00FF0AEC"/>
    <w:rsid w:val="00FF1DF4"/>
    <w:rsid w:val="00FF4165"/>
    <w:rsid w:val="02E03DF9"/>
    <w:rsid w:val="041B280B"/>
    <w:rsid w:val="04DE21B6"/>
    <w:rsid w:val="0563090D"/>
    <w:rsid w:val="05CF5FA2"/>
    <w:rsid w:val="074F1149"/>
    <w:rsid w:val="0765096C"/>
    <w:rsid w:val="09045F63"/>
    <w:rsid w:val="095962AF"/>
    <w:rsid w:val="0A16746E"/>
    <w:rsid w:val="0A481E7F"/>
    <w:rsid w:val="0BB35A1E"/>
    <w:rsid w:val="0D907DC5"/>
    <w:rsid w:val="0FE4089C"/>
    <w:rsid w:val="113741D2"/>
    <w:rsid w:val="12443874"/>
    <w:rsid w:val="13FD1086"/>
    <w:rsid w:val="14072DAB"/>
    <w:rsid w:val="14CB202B"/>
    <w:rsid w:val="18330BA7"/>
    <w:rsid w:val="187A7FF0"/>
    <w:rsid w:val="187D53EA"/>
    <w:rsid w:val="197113F3"/>
    <w:rsid w:val="19B66E06"/>
    <w:rsid w:val="1A0933D9"/>
    <w:rsid w:val="1A514D80"/>
    <w:rsid w:val="1B09565B"/>
    <w:rsid w:val="1D0D1432"/>
    <w:rsid w:val="1D34261E"/>
    <w:rsid w:val="1EDD6BE3"/>
    <w:rsid w:val="1F825B27"/>
    <w:rsid w:val="20254CE5"/>
    <w:rsid w:val="22192627"/>
    <w:rsid w:val="22286E1F"/>
    <w:rsid w:val="229B303C"/>
    <w:rsid w:val="23952182"/>
    <w:rsid w:val="24150BCD"/>
    <w:rsid w:val="24A3442A"/>
    <w:rsid w:val="25CA52AA"/>
    <w:rsid w:val="26797B39"/>
    <w:rsid w:val="284D6B87"/>
    <w:rsid w:val="2920604A"/>
    <w:rsid w:val="295E3016"/>
    <w:rsid w:val="299D3B3E"/>
    <w:rsid w:val="2A225DF4"/>
    <w:rsid w:val="2D8A6187"/>
    <w:rsid w:val="2DC55411"/>
    <w:rsid w:val="349124F1"/>
    <w:rsid w:val="36D16BD5"/>
    <w:rsid w:val="36FF3742"/>
    <w:rsid w:val="383C13C0"/>
    <w:rsid w:val="39F41558"/>
    <w:rsid w:val="3B530501"/>
    <w:rsid w:val="3C090BBF"/>
    <w:rsid w:val="3CE82ECA"/>
    <w:rsid w:val="3EE33949"/>
    <w:rsid w:val="41474664"/>
    <w:rsid w:val="42755200"/>
    <w:rsid w:val="427828EB"/>
    <w:rsid w:val="42813BA5"/>
    <w:rsid w:val="42A05423"/>
    <w:rsid w:val="43776D56"/>
    <w:rsid w:val="445F1CC4"/>
    <w:rsid w:val="4545710C"/>
    <w:rsid w:val="469320F9"/>
    <w:rsid w:val="46C40504"/>
    <w:rsid w:val="481E59F2"/>
    <w:rsid w:val="48757D08"/>
    <w:rsid w:val="498126DD"/>
    <w:rsid w:val="4A2512BA"/>
    <w:rsid w:val="4A84452E"/>
    <w:rsid w:val="4B7122DD"/>
    <w:rsid w:val="4C1C049B"/>
    <w:rsid w:val="4C433C79"/>
    <w:rsid w:val="4EE259CC"/>
    <w:rsid w:val="50E84DEF"/>
    <w:rsid w:val="51932FAD"/>
    <w:rsid w:val="523522B6"/>
    <w:rsid w:val="527E074E"/>
    <w:rsid w:val="53316F22"/>
    <w:rsid w:val="5394300C"/>
    <w:rsid w:val="53D33B35"/>
    <w:rsid w:val="5495528E"/>
    <w:rsid w:val="55915A56"/>
    <w:rsid w:val="56393C72"/>
    <w:rsid w:val="567E247E"/>
    <w:rsid w:val="56BC2FA6"/>
    <w:rsid w:val="570A1F63"/>
    <w:rsid w:val="57430FD1"/>
    <w:rsid w:val="57544F8D"/>
    <w:rsid w:val="579503FF"/>
    <w:rsid w:val="5814296E"/>
    <w:rsid w:val="5A0E3B19"/>
    <w:rsid w:val="5A4C4641"/>
    <w:rsid w:val="5A623E64"/>
    <w:rsid w:val="5B394BC5"/>
    <w:rsid w:val="5BDB3ECE"/>
    <w:rsid w:val="5C090A3C"/>
    <w:rsid w:val="5C8005D2"/>
    <w:rsid w:val="5EAF519E"/>
    <w:rsid w:val="60535296"/>
    <w:rsid w:val="6166248C"/>
    <w:rsid w:val="618B5A4F"/>
    <w:rsid w:val="62BE3C02"/>
    <w:rsid w:val="6329329E"/>
    <w:rsid w:val="64460353"/>
    <w:rsid w:val="67CB129B"/>
    <w:rsid w:val="68242759"/>
    <w:rsid w:val="68DD74D8"/>
    <w:rsid w:val="6BAD2998"/>
    <w:rsid w:val="6BF54B38"/>
    <w:rsid w:val="6C0134DD"/>
    <w:rsid w:val="6D282CEC"/>
    <w:rsid w:val="6EAE7221"/>
    <w:rsid w:val="70310109"/>
    <w:rsid w:val="70B56644"/>
    <w:rsid w:val="70FF1FB5"/>
    <w:rsid w:val="71597917"/>
    <w:rsid w:val="718E546A"/>
    <w:rsid w:val="72FD2525"/>
    <w:rsid w:val="73334198"/>
    <w:rsid w:val="735008A6"/>
    <w:rsid w:val="73B76B77"/>
    <w:rsid w:val="73E3171A"/>
    <w:rsid w:val="742F4960"/>
    <w:rsid w:val="7480340D"/>
    <w:rsid w:val="78106856"/>
    <w:rsid w:val="7819593A"/>
    <w:rsid w:val="78CA2EA9"/>
    <w:rsid w:val="7BE424D4"/>
    <w:rsid w:val="7CBC6FAC"/>
    <w:rsid w:val="7DEE7639"/>
    <w:rsid w:val="7EBA751C"/>
    <w:rsid w:val="7EEA6053"/>
    <w:rsid w:val="FF7FF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8"/>
    <w:autoRedefine/>
    <w:qFormat/>
    <w:uiPriority w:val="0"/>
    <w:pPr>
      <w:jc w:val="left"/>
    </w:pPr>
  </w:style>
  <w:style w:type="paragraph" w:styleId="4">
    <w:name w:val="Balloon Text"/>
    <w:basedOn w:val="1"/>
    <w:link w:val="15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3"/>
    <w:next w:val="3"/>
    <w:link w:val="19"/>
    <w:autoRedefine/>
    <w:qFormat/>
    <w:uiPriority w:val="0"/>
    <w:rPr>
      <w:b/>
      <w:bCs/>
    </w:rPr>
  </w:style>
  <w:style w:type="character" w:styleId="10">
    <w:name w:val="line number"/>
    <w:autoRedefine/>
    <w:qFormat/>
    <w:uiPriority w:val="0"/>
  </w:style>
  <w:style w:type="character" w:styleId="11">
    <w:name w:val="annotation reference"/>
    <w:autoRedefine/>
    <w:qFormat/>
    <w:uiPriority w:val="0"/>
    <w:rPr>
      <w:sz w:val="21"/>
      <w:szCs w:val="21"/>
    </w:rPr>
  </w:style>
  <w:style w:type="character" w:customStyle="1" w:styleId="12">
    <w:name w:val="页脚 Char"/>
    <w:link w:val="5"/>
    <w:qFormat/>
    <w:uiPriority w:val="0"/>
    <w:rPr>
      <w:sz w:val="18"/>
      <w:szCs w:val="18"/>
    </w:rPr>
  </w:style>
  <w:style w:type="character" w:customStyle="1" w:styleId="13">
    <w:name w:val="页眉 Char"/>
    <w:link w:val="6"/>
    <w:autoRedefine/>
    <w:qFormat/>
    <w:uiPriority w:val="0"/>
    <w:rPr>
      <w:sz w:val="18"/>
      <w:szCs w:val="18"/>
    </w:rPr>
  </w:style>
  <w:style w:type="paragraph" w:styleId="14">
    <w:name w:val="List Paragraph"/>
    <w:basedOn w:val="1"/>
    <w:qFormat/>
    <w:uiPriority w:val="0"/>
    <w:pPr>
      <w:ind w:firstLine="420" w:firstLineChars="200"/>
    </w:pPr>
  </w:style>
  <w:style w:type="character" w:customStyle="1" w:styleId="15">
    <w:name w:val="批注框文本 Char"/>
    <w:link w:val="4"/>
    <w:qFormat/>
    <w:uiPriority w:val="0"/>
    <w:rPr>
      <w:kern w:val="2"/>
      <w:sz w:val="18"/>
      <w:szCs w:val="18"/>
    </w:rPr>
  </w:style>
  <w:style w:type="character" w:customStyle="1" w:styleId="16">
    <w:name w:val="标题 1 Char"/>
    <w:link w:val="2"/>
    <w:autoRedefine/>
    <w:qFormat/>
    <w:uiPriority w:val="0"/>
    <w:rPr>
      <w:rFonts w:ascii="Times New Roman" w:hAnsi="Times New Roman"/>
      <w:b/>
      <w:bCs/>
      <w:kern w:val="44"/>
      <w:sz w:val="44"/>
      <w:szCs w:val="44"/>
    </w:rPr>
  </w:style>
  <w:style w:type="paragraph" w:customStyle="1" w:styleId="17">
    <w:name w:val="TOC Heading"/>
    <w:basedOn w:val="2"/>
    <w:next w:val="1"/>
    <w:qFormat/>
    <w:uiPriority w:val="0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8">
    <w:name w:val="批注文字 Char"/>
    <w:link w:val="3"/>
    <w:qFormat/>
    <w:uiPriority w:val="0"/>
    <w:rPr>
      <w:kern w:val="2"/>
      <w:sz w:val="21"/>
      <w:szCs w:val="22"/>
    </w:rPr>
  </w:style>
  <w:style w:type="character" w:customStyle="1" w:styleId="19">
    <w:name w:val="批注主题 Char"/>
    <w:link w:val="7"/>
    <w:qFormat/>
    <w:uiPriority w:val="0"/>
    <w:rPr>
      <w:b/>
      <w:bCs/>
      <w:kern w:val="2"/>
      <w:sz w:val="21"/>
      <w:szCs w:val="22"/>
    </w:rPr>
  </w:style>
  <w:style w:type="character" w:customStyle="1" w:styleId="20">
    <w:name w:val="fontstyle0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1">
    <w:name w:val="fontstyle2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2">
    <w:name w:val="fontstyle1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3">
    <w:name w:val="fontstyle3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beijing</Company>
  <Pages>11</Pages>
  <Words>2643</Words>
  <Characters>2857</Characters>
  <Lines>68</Lines>
  <Paragraphs>19</Paragraphs>
  <TotalTime>21</TotalTime>
  <ScaleCrop>false</ScaleCrop>
  <LinksUpToDate>false</LinksUpToDate>
  <CharactersWithSpaces>2869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2024-01-30T17:03:00Z</dcterms:created>
  <dc:creator>home</dc:creator>
  <cp:lastModifiedBy>上弦月</cp:lastModifiedBy>
  <cp:lastPrinted>2022-02-15T15:45:00Z</cp:lastPrinted>
  <dcterms:modified xsi:type="dcterms:W3CDTF">2026-03-17T00:44:22Z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4746AA2B63644A919A7677ADD6665D0C</vt:lpwstr>
  </property>
  <property fmtid="{D5CDD505-2E9C-101B-9397-08002B2CF9AE}" pid="4" name="KSOTemplateDocerSaveRecord">
    <vt:lpwstr>eyJoZGlkIjoiMTVhYzUzN2E4MGRkOTk0NmRkYTlmZDUyYWU3NjQ3ODIiLCJ1c2VySWQiOiIxMTU2Njg4NjQzIn0=</vt:lpwstr>
  </property>
</Properties>
</file>